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sz w:val="11"/>
        </w:rPr>
      </w:pPr>
    </w:p>
    <w:p>
      <w:pPr>
        <w:pStyle w:val="BodyText"/>
        <w:spacing w:before="91"/>
        <w:ind w:left="600" w:right="635"/>
      </w:pPr>
      <w:r>
        <w:rPr>
          <w:b/>
          <w:u w:val="single"/>
        </w:rPr>
        <w:t>PURPOSE</w:t>
      </w:r>
      <w:r>
        <w:rPr>
          <w:b/>
        </w:rPr>
        <w:t>. </w:t>
      </w:r>
      <w:r>
        <w:rPr/>
        <w:t>This appendix is used to aid in the assessment of an organization’s conformity with the </w:t>
      </w:r>
      <w:r>
        <w:rPr>
          <w:i/>
        </w:rPr>
        <w:t>Quality Standards for Digital Forensics </w:t>
      </w:r>
      <w:r>
        <w:rPr/>
        <w:t>(QSDF), dated June 18, 2019, and it is used during Council of the Inspectors General on Integrity and Efficiency (CIGIE) qualitative assessment reviews of investigative operations. The purpose of this appendix is to guide the review and assist in making a determination that an organization has adequate policies and procedures to ensure digital forensics can be properly employed to support investigations performed by the organization. This appendix does not establish or define any standards but is simply a checklist referencing the standards in the QSDF. If the organization conducting the peer review does not have in-house personnel with digital forensic experience to conduct the review of an organization that conducts its own digital forensics work, it must seek assistance from another CIGIE organization. While all organizations should immediately begin implementing the requirements in the 2019 QSDF, organizations are not required to meet the new requirements (identified with an asterisk below) until October 1, 2020. This document supersedes Appendix C-2, </w:t>
      </w:r>
      <w:r>
        <w:rPr>
          <w:i/>
        </w:rPr>
        <w:t>Questionnaire for Review of Conformity with Quality </w:t>
      </w:r>
      <w:r>
        <w:rPr>
          <w:i/>
        </w:rPr>
        <w:t>Standards for Digital Forensics</w:t>
      </w:r>
      <w:r>
        <w:rPr/>
        <w:t>, dated November 19, 2013.</w:t>
      </w:r>
    </w:p>
    <w:p>
      <w:pPr>
        <w:pStyle w:val="BodyText"/>
        <w:spacing w:before="1"/>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5"/>
        <w:gridCol w:w="540"/>
        <w:gridCol w:w="540"/>
        <w:gridCol w:w="540"/>
        <w:gridCol w:w="540"/>
        <w:gridCol w:w="540"/>
        <w:gridCol w:w="1440"/>
        <w:gridCol w:w="1352"/>
        <w:gridCol w:w="2386"/>
      </w:tblGrid>
      <w:tr>
        <w:trPr>
          <w:trHeight w:val="1269" w:hRule="atLeast"/>
        </w:trPr>
        <w:tc>
          <w:tcPr>
            <w:tcW w:w="6075" w:type="dxa"/>
            <w:vMerge w:val="restart"/>
            <w:tcBorders>
              <w:bottom w:val="single" w:sz="6" w:space="0" w:color="000000"/>
              <w:right w:val="single" w:sz="6" w:space="0" w:color="000000"/>
            </w:tcBorders>
            <w:shd w:val="clear" w:color="auto" w:fill="E6E6E6"/>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2502" w:right="2495"/>
              <w:jc w:val="center"/>
              <w:rPr>
                <w:rFonts w:ascii="Calibri"/>
                <w:b/>
                <w:sz w:val="20"/>
              </w:rPr>
            </w:pPr>
            <w:r>
              <w:rPr>
                <w:rFonts w:ascii="Calibri"/>
                <w:b/>
                <w:sz w:val="20"/>
              </w:rPr>
              <w:t>Review Step</w:t>
            </w:r>
          </w:p>
        </w:tc>
        <w:tc>
          <w:tcPr>
            <w:tcW w:w="540" w:type="dxa"/>
            <w:vMerge w:val="restart"/>
            <w:tcBorders>
              <w:left w:val="single" w:sz="6" w:space="0" w:color="000000"/>
              <w:bottom w:val="single" w:sz="6" w:space="0" w:color="000000"/>
              <w:right w:val="single" w:sz="6" w:space="0" w:color="000000"/>
            </w:tcBorders>
            <w:shd w:val="clear" w:color="auto" w:fill="E6E6E6"/>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98"/>
              <w:rPr>
                <w:rFonts w:ascii="Calibri"/>
                <w:b/>
                <w:sz w:val="20"/>
              </w:rPr>
            </w:pPr>
            <w:r>
              <w:rPr>
                <w:rFonts w:ascii="Calibri"/>
                <w:b/>
                <w:sz w:val="20"/>
              </w:rPr>
              <w:t>N/A</w:t>
            </w:r>
          </w:p>
        </w:tc>
        <w:tc>
          <w:tcPr>
            <w:tcW w:w="1080" w:type="dxa"/>
            <w:gridSpan w:val="2"/>
            <w:tcBorders>
              <w:left w:val="single" w:sz="6" w:space="0" w:color="000000"/>
              <w:bottom w:val="single" w:sz="6" w:space="0" w:color="000000"/>
              <w:right w:val="single" w:sz="6" w:space="0" w:color="000000"/>
            </w:tcBorders>
            <w:shd w:val="clear" w:color="auto" w:fill="E6E6E6"/>
          </w:tcPr>
          <w:p>
            <w:pPr>
              <w:pStyle w:val="TableParagraph"/>
              <w:spacing w:before="2"/>
              <w:rPr>
                <w:rFonts w:ascii="Times New Roman"/>
                <w:sz w:val="22"/>
              </w:rPr>
            </w:pPr>
          </w:p>
          <w:p>
            <w:pPr>
              <w:pStyle w:val="TableParagraph"/>
              <w:spacing w:before="1"/>
              <w:ind w:left="156"/>
              <w:rPr>
                <w:rFonts w:ascii="Calibri"/>
                <w:b/>
                <w:sz w:val="22"/>
              </w:rPr>
            </w:pPr>
            <w:r>
              <w:rPr>
                <w:rFonts w:ascii="Calibri"/>
                <w:b/>
                <w:sz w:val="22"/>
                <w:u w:val="single"/>
              </w:rPr>
              <w:t>PHASE 1</w:t>
            </w:r>
          </w:p>
          <w:p>
            <w:pPr>
              <w:pStyle w:val="TableParagraph"/>
              <w:spacing w:before="2"/>
              <w:ind w:left="108" w:right="81" w:firstLine="141"/>
              <w:rPr>
                <w:rFonts w:ascii="Calibri"/>
                <w:b/>
                <w:sz w:val="20"/>
              </w:rPr>
            </w:pPr>
            <w:r>
              <w:rPr>
                <w:rFonts w:ascii="Calibri"/>
                <w:b/>
                <w:sz w:val="20"/>
              </w:rPr>
              <w:t>Policy/ Procedure</w:t>
            </w:r>
          </w:p>
        </w:tc>
        <w:tc>
          <w:tcPr>
            <w:tcW w:w="1080" w:type="dxa"/>
            <w:gridSpan w:val="2"/>
            <w:tcBorders>
              <w:left w:val="single" w:sz="6" w:space="0" w:color="000000"/>
              <w:bottom w:val="single" w:sz="6" w:space="0" w:color="000000"/>
              <w:right w:val="single" w:sz="6" w:space="0" w:color="000000"/>
            </w:tcBorders>
            <w:shd w:val="clear" w:color="auto" w:fill="E6E6E6"/>
          </w:tcPr>
          <w:p>
            <w:pPr>
              <w:pStyle w:val="TableParagraph"/>
              <w:spacing w:before="3"/>
              <w:rPr>
                <w:rFonts w:ascii="Times New Roman"/>
                <w:sz w:val="23"/>
              </w:rPr>
            </w:pPr>
          </w:p>
          <w:p>
            <w:pPr>
              <w:pStyle w:val="TableParagraph"/>
              <w:ind w:left="156"/>
              <w:rPr>
                <w:rFonts w:ascii="Calibri"/>
                <w:b/>
                <w:sz w:val="22"/>
              </w:rPr>
            </w:pPr>
            <w:r>
              <w:rPr>
                <w:rFonts w:ascii="Calibri"/>
                <w:b/>
                <w:sz w:val="22"/>
                <w:u w:val="single"/>
              </w:rPr>
              <w:t>PHASE 2</w:t>
            </w:r>
          </w:p>
          <w:p>
            <w:pPr>
              <w:pStyle w:val="TableParagraph"/>
              <w:spacing w:before="3"/>
              <w:ind w:left="206" w:hanging="108"/>
              <w:rPr>
                <w:rFonts w:ascii="Calibri"/>
                <w:b/>
                <w:sz w:val="20"/>
              </w:rPr>
            </w:pPr>
            <w:r>
              <w:rPr>
                <w:rFonts w:ascii="Calibri"/>
                <w:b/>
                <w:w w:val="95"/>
                <w:sz w:val="20"/>
              </w:rPr>
              <w:t>Consistent </w:t>
            </w:r>
            <w:r>
              <w:rPr>
                <w:rFonts w:ascii="Calibri"/>
                <w:b/>
                <w:sz w:val="20"/>
              </w:rPr>
              <w:t>Practice</w:t>
            </w:r>
          </w:p>
        </w:tc>
        <w:tc>
          <w:tcPr>
            <w:tcW w:w="1440" w:type="dxa"/>
            <w:vMerge w:val="restart"/>
            <w:tcBorders>
              <w:left w:val="single" w:sz="6" w:space="0" w:color="000000"/>
              <w:bottom w:val="single" w:sz="6" w:space="0" w:color="000000"/>
              <w:right w:val="single" w:sz="6" w:space="0" w:color="000000"/>
            </w:tcBorders>
            <w:shd w:val="clear" w:color="auto" w:fill="E6E6E6"/>
          </w:tcPr>
          <w:p>
            <w:pPr>
              <w:pStyle w:val="TableParagraph"/>
              <w:spacing w:before="1"/>
              <w:rPr>
                <w:rFonts w:ascii="Times New Roman"/>
                <w:sz w:val="24"/>
              </w:rPr>
            </w:pPr>
          </w:p>
          <w:p>
            <w:pPr>
              <w:pStyle w:val="TableParagraph"/>
              <w:ind w:left="110" w:right="102"/>
              <w:jc w:val="center"/>
              <w:rPr>
                <w:rFonts w:ascii="Calibri"/>
                <w:b/>
                <w:sz w:val="20"/>
              </w:rPr>
            </w:pPr>
            <w:r>
              <w:rPr>
                <w:rFonts w:ascii="Calibri"/>
                <w:b/>
                <w:sz w:val="20"/>
              </w:rPr>
              <w:t>Reviewed Agency Policy/Manual Reference</w:t>
            </w:r>
          </w:p>
        </w:tc>
        <w:tc>
          <w:tcPr>
            <w:tcW w:w="1352" w:type="dxa"/>
            <w:vMerge w:val="restart"/>
            <w:tcBorders>
              <w:left w:val="single" w:sz="6" w:space="0" w:color="000000"/>
              <w:bottom w:val="single" w:sz="6" w:space="0" w:color="000000"/>
              <w:right w:val="single" w:sz="6" w:space="0" w:color="000000"/>
            </w:tcBorders>
            <w:shd w:val="clear" w:color="auto" w:fill="E6E6E6"/>
          </w:tcPr>
          <w:p>
            <w:pPr>
              <w:pStyle w:val="TableParagraph"/>
              <w:rPr>
                <w:rFonts w:ascii="Times New Roman"/>
                <w:sz w:val="20"/>
              </w:rPr>
            </w:pPr>
          </w:p>
          <w:p>
            <w:pPr>
              <w:pStyle w:val="TableParagraph"/>
              <w:spacing w:before="169"/>
              <w:ind w:left="427" w:right="420"/>
              <w:jc w:val="center"/>
              <w:rPr>
                <w:rFonts w:ascii="Calibri"/>
                <w:b/>
                <w:sz w:val="20"/>
              </w:rPr>
            </w:pPr>
            <w:r>
              <w:rPr>
                <w:rFonts w:ascii="Calibri"/>
                <w:b/>
                <w:sz w:val="20"/>
              </w:rPr>
              <w:t>QSDF</w:t>
            </w:r>
          </w:p>
          <w:p>
            <w:pPr>
              <w:pStyle w:val="TableParagraph"/>
              <w:spacing w:before="1"/>
              <w:ind w:left="252" w:right="241" w:hanging="7"/>
              <w:jc w:val="center"/>
              <w:rPr>
                <w:rFonts w:ascii="Calibri"/>
                <w:b/>
                <w:sz w:val="20"/>
              </w:rPr>
            </w:pPr>
            <w:r>
              <w:rPr>
                <w:rFonts w:ascii="Calibri"/>
                <w:b/>
                <w:sz w:val="20"/>
              </w:rPr>
              <w:t>Guideline </w:t>
            </w:r>
            <w:r>
              <w:rPr>
                <w:rFonts w:ascii="Calibri"/>
                <w:b/>
                <w:w w:val="95"/>
                <w:sz w:val="20"/>
              </w:rPr>
              <w:t>Reference</w:t>
            </w:r>
          </w:p>
        </w:tc>
        <w:tc>
          <w:tcPr>
            <w:tcW w:w="2386" w:type="dxa"/>
            <w:vMerge w:val="restart"/>
            <w:tcBorders>
              <w:left w:val="single" w:sz="6" w:space="0" w:color="000000"/>
              <w:bottom w:val="single" w:sz="6" w:space="0" w:color="000000"/>
            </w:tcBorders>
            <w:shd w:val="clear" w:color="auto" w:fill="E6E6E6"/>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739"/>
              <w:rPr>
                <w:rFonts w:ascii="Calibri"/>
                <w:b/>
                <w:sz w:val="20"/>
              </w:rPr>
            </w:pPr>
            <w:r>
              <w:rPr>
                <w:rFonts w:ascii="Calibri"/>
                <w:b/>
                <w:sz w:val="20"/>
              </w:rPr>
              <w:t>Comments</w:t>
            </w:r>
          </w:p>
        </w:tc>
      </w:tr>
      <w:tr>
        <w:trPr>
          <w:trHeight w:val="244" w:hRule="atLeast"/>
        </w:trPr>
        <w:tc>
          <w:tcPr>
            <w:tcW w:w="6075" w:type="dxa"/>
            <w:vMerge/>
            <w:tcBorders>
              <w:top w:val="nil"/>
              <w:bottom w:val="single" w:sz="6" w:space="0" w:color="000000"/>
              <w:right w:val="single" w:sz="6" w:space="0" w:color="000000"/>
            </w:tcBorders>
            <w:shd w:val="clear" w:color="auto" w:fill="E6E6E6"/>
          </w:tcPr>
          <w:p>
            <w:pPr>
              <w:rPr>
                <w:sz w:val="2"/>
                <w:szCs w:val="2"/>
              </w:rPr>
            </w:pPr>
          </w:p>
        </w:tc>
        <w:tc>
          <w:tcPr>
            <w:tcW w:w="540" w:type="dxa"/>
            <w:vMerge/>
            <w:tcBorders>
              <w:top w:val="nil"/>
              <w:left w:val="single" w:sz="6" w:space="0" w:color="000000"/>
              <w:bottom w:val="single" w:sz="6" w:space="0" w:color="000000"/>
              <w:right w:val="single" w:sz="6" w:space="0" w:color="000000"/>
            </w:tcBorders>
            <w:shd w:val="clear" w:color="auto" w:fill="E6E6E6"/>
          </w:tcPr>
          <w:p>
            <w:pPr>
              <w:rPr>
                <w:sz w:val="2"/>
                <w:szCs w:val="2"/>
              </w:rPr>
            </w:pP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24"/>
              <w:rPr>
                <w:rFonts w:ascii="Calibri"/>
                <w:b/>
                <w:sz w:val="20"/>
              </w:rPr>
            </w:pPr>
            <w:r>
              <w:rPr>
                <w:rFonts w:ascii="Calibri"/>
                <w:b/>
                <w:sz w:val="20"/>
              </w:rPr>
              <w:t>Yes</w:t>
            </w: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46"/>
              <w:rPr>
                <w:rFonts w:ascii="Calibri"/>
                <w:b/>
                <w:sz w:val="20"/>
              </w:rPr>
            </w:pPr>
            <w:r>
              <w:rPr>
                <w:rFonts w:ascii="Calibri"/>
                <w:b/>
                <w:sz w:val="20"/>
              </w:rPr>
              <w:t>No</w:t>
            </w: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25"/>
              <w:rPr>
                <w:rFonts w:ascii="Calibri"/>
                <w:b/>
                <w:sz w:val="20"/>
              </w:rPr>
            </w:pPr>
            <w:r>
              <w:rPr>
                <w:rFonts w:ascii="Calibri"/>
                <w:b/>
                <w:sz w:val="20"/>
              </w:rPr>
              <w:t>Yes</w:t>
            </w: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46"/>
              <w:rPr>
                <w:rFonts w:ascii="Calibri"/>
                <w:b/>
                <w:sz w:val="20"/>
              </w:rPr>
            </w:pPr>
            <w:r>
              <w:rPr>
                <w:rFonts w:ascii="Calibri"/>
                <w:b/>
                <w:sz w:val="20"/>
              </w:rPr>
              <w:t>No</w:t>
            </w:r>
          </w:p>
        </w:tc>
        <w:tc>
          <w:tcPr>
            <w:tcW w:w="1440" w:type="dxa"/>
            <w:vMerge/>
            <w:tcBorders>
              <w:top w:val="nil"/>
              <w:left w:val="single" w:sz="6" w:space="0" w:color="000000"/>
              <w:bottom w:val="single" w:sz="6" w:space="0" w:color="000000"/>
              <w:right w:val="single" w:sz="6" w:space="0" w:color="000000"/>
            </w:tcBorders>
            <w:shd w:val="clear" w:color="auto" w:fill="E6E6E6"/>
          </w:tcPr>
          <w:p>
            <w:pPr>
              <w:rPr>
                <w:sz w:val="2"/>
                <w:szCs w:val="2"/>
              </w:rPr>
            </w:pPr>
          </w:p>
        </w:tc>
        <w:tc>
          <w:tcPr>
            <w:tcW w:w="1352" w:type="dxa"/>
            <w:vMerge/>
            <w:tcBorders>
              <w:top w:val="nil"/>
              <w:left w:val="single" w:sz="6" w:space="0" w:color="000000"/>
              <w:bottom w:val="single" w:sz="6" w:space="0" w:color="000000"/>
              <w:right w:val="single" w:sz="6" w:space="0" w:color="000000"/>
            </w:tcBorders>
            <w:shd w:val="clear" w:color="auto" w:fill="E6E6E6"/>
          </w:tcPr>
          <w:p>
            <w:pPr>
              <w:rPr>
                <w:sz w:val="2"/>
                <w:szCs w:val="2"/>
              </w:rPr>
            </w:pPr>
          </w:p>
        </w:tc>
        <w:tc>
          <w:tcPr>
            <w:tcW w:w="2386" w:type="dxa"/>
            <w:vMerge/>
            <w:tcBorders>
              <w:top w:val="nil"/>
              <w:left w:val="single" w:sz="6" w:space="0" w:color="000000"/>
              <w:bottom w:val="single" w:sz="6" w:space="0" w:color="000000"/>
            </w:tcBorders>
            <w:shd w:val="clear" w:color="auto" w:fill="E6E6E6"/>
          </w:tcPr>
          <w:p>
            <w:pPr>
              <w:rPr>
                <w:sz w:val="2"/>
                <w:szCs w:val="2"/>
              </w:rPr>
            </w:pPr>
          </w:p>
        </w:tc>
      </w:tr>
      <w:tr>
        <w:trPr>
          <w:trHeight w:val="690" w:hRule="atLeast"/>
        </w:trPr>
        <w:tc>
          <w:tcPr>
            <w:tcW w:w="13953" w:type="dxa"/>
            <w:gridSpan w:val="9"/>
            <w:tcBorders>
              <w:top w:val="single" w:sz="6" w:space="0" w:color="000000"/>
              <w:bottom w:val="single" w:sz="6" w:space="0" w:color="000000"/>
            </w:tcBorders>
          </w:tcPr>
          <w:p>
            <w:pPr>
              <w:pStyle w:val="TableParagraph"/>
              <w:spacing w:before="11"/>
              <w:rPr>
                <w:rFonts w:ascii="Times New Roman"/>
                <w:sz w:val="19"/>
              </w:rPr>
            </w:pPr>
          </w:p>
          <w:p>
            <w:pPr>
              <w:pStyle w:val="TableParagraph"/>
              <w:ind w:left="261"/>
              <w:rPr>
                <w:sz w:val="20"/>
              </w:rPr>
            </w:pPr>
            <w:r>
              <w:rPr>
                <w:b/>
                <w:sz w:val="20"/>
              </w:rPr>
              <w:t>A. MANAGEMENT STANDARDS – </w:t>
            </w:r>
            <w:r>
              <w:rPr>
                <w:sz w:val="20"/>
              </w:rPr>
              <w:t>Management standards apply to the organizational environment in which digital forensics are performed.</w:t>
            </w:r>
          </w:p>
        </w:tc>
      </w:tr>
      <w:tr>
        <w:trPr>
          <w:trHeight w:val="691" w:hRule="atLeast"/>
        </w:trPr>
        <w:tc>
          <w:tcPr>
            <w:tcW w:w="6075" w:type="dxa"/>
            <w:tcBorders>
              <w:top w:val="single" w:sz="6" w:space="0" w:color="000000"/>
              <w:bottom w:val="single" w:sz="6" w:space="0" w:color="000000"/>
              <w:right w:val="single" w:sz="6" w:space="0" w:color="000000"/>
            </w:tcBorders>
          </w:tcPr>
          <w:p>
            <w:pPr>
              <w:pStyle w:val="TableParagraph"/>
              <w:spacing w:line="230" w:lineRule="exact" w:before="3"/>
              <w:ind w:left="674" w:right="131" w:hanging="360"/>
              <w:rPr>
                <w:sz w:val="20"/>
              </w:rPr>
            </w:pPr>
            <w:r>
              <w:rPr>
                <w:b/>
                <w:sz w:val="20"/>
              </w:rPr>
              <w:t>1. </w:t>
            </w:r>
            <w:r>
              <w:rPr>
                <w:sz w:val="20"/>
              </w:rPr>
              <w:t>Does the organization have written policies and procedures to ensure digital forensics can be used to support its investigations, when appropriate?</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5" w:after="1"/>
              <w:rPr>
                <w:rFonts w:ascii="Times New Roman"/>
                <w:sz w:val="19"/>
              </w:rPr>
            </w:pPr>
          </w:p>
          <w:p>
            <w:pPr>
              <w:pStyle w:val="TableParagraph"/>
              <w:ind w:left="145"/>
              <w:rPr>
                <w:rFonts w:ascii="Times New Roman"/>
                <w:sz w:val="20"/>
              </w:rPr>
            </w:pPr>
            <w:r>
              <w:rPr>
                <w:rFonts w:ascii="Times New Roman"/>
                <w:sz w:val="20"/>
              </w:rPr>
              <w:pict>
                <v:group style="width:11.9pt;height:11.95pt;mso-position-horizontal-relative:char;mso-position-vertical-relative:line" coordorigin="0,0" coordsize="238,239">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5" w:after="1"/>
              <w:rPr>
                <w:rFonts w:ascii="Times New Roman"/>
                <w:sz w:val="19"/>
              </w:rPr>
            </w:pPr>
          </w:p>
          <w:p>
            <w:pPr>
              <w:pStyle w:val="TableParagraph"/>
              <w:ind w:left="145"/>
              <w:rPr>
                <w:rFonts w:ascii="Times New Roman"/>
                <w:sz w:val="20"/>
              </w:rPr>
            </w:pPr>
            <w:r>
              <w:rPr>
                <w:rFonts w:ascii="Times New Roman"/>
                <w:sz w:val="20"/>
              </w:rPr>
              <w:pict>
                <v:group style="width:11.9pt;height:11.95pt;mso-position-horizontal-relative:char;mso-position-vertical-relative:line" coordorigin="0,0" coordsize="238,239">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5" w:after="1"/>
              <w:rPr>
                <w:rFonts w:ascii="Times New Roman"/>
                <w:sz w:val="19"/>
              </w:rPr>
            </w:pPr>
          </w:p>
          <w:p>
            <w:pPr>
              <w:pStyle w:val="TableParagraph"/>
              <w:ind w:left="146"/>
              <w:rPr>
                <w:rFonts w:ascii="Times New Roman"/>
                <w:sz w:val="20"/>
              </w:rPr>
            </w:pPr>
            <w:r>
              <w:rPr>
                <w:rFonts w:ascii="Times New Roman"/>
                <w:sz w:val="20"/>
              </w:rPr>
              <w:pict>
                <v:group style="width:11.9pt;height:11.95pt;mso-position-horizontal-relative:char;mso-position-vertical-relative:line" coordorigin="0,0" coordsize="238,239">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5" w:after="1"/>
              <w:rPr>
                <w:rFonts w:ascii="Times New Roman"/>
                <w:sz w:val="19"/>
              </w:rPr>
            </w:pPr>
          </w:p>
          <w:p>
            <w:pPr>
              <w:pStyle w:val="TableParagraph"/>
              <w:ind w:left="146"/>
              <w:rPr>
                <w:rFonts w:ascii="Times New Roman"/>
                <w:sz w:val="20"/>
              </w:rPr>
            </w:pPr>
            <w:r>
              <w:rPr>
                <w:rFonts w:ascii="Times New Roman"/>
                <w:sz w:val="20"/>
              </w:rPr>
              <w:pict>
                <v:group style="width:11.9pt;height:11.95pt;mso-position-horizontal-relative:char;mso-position-vertical-relative:line" coordorigin="0,0" coordsize="238,239">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61"/>
              <w:ind w:left="5" w:right="218"/>
              <w:rPr>
                <w:sz w:val="16"/>
              </w:rPr>
            </w:pPr>
            <w:r>
              <w:rPr>
                <w:sz w:val="16"/>
              </w:rPr>
              <w:t>QSDF, Mgmt Stds, Section A</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916" w:hRule="atLeast"/>
        </w:trPr>
        <w:tc>
          <w:tcPr>
            <w:tcW w:w="6075" w:type="dxa"/>
            <w:tcBorders>
              <w:top w:val="single" w:sz="6" w:space="0" w:color="000000"/>
              <w:bottom w:val="single" w:sz="6" w:space="0" w:color="000000"/>
              <w:right w:val="single" w:sz="6" w:space="0" w:color="000000"/>
            </w:tcBorders>
          </w:tcPr>
          <w:p>
            <w:pPr>
              <w:pStyle w:val="TableParagraph"/>
              <w:ind w:left="674" w:right="131" w:hanging="360"/>
              <w:rPr>
                <w:sz w:val="20"/>
              </w:rPr>
            </w:pPr>
            <w:r>
              <w:rPr>
                <w:b/>
                <w:sz w:val="20"/>
              </w:rPr>
              <w:t>2. </w:t>
            </w:r>
            <w:r>
              <w:rPr>
                <w:sz w:val="20"/>
              </w:rPr>
              <w:t>Does the organization have policy on how it handles situations where the capability to acquire or analyze ESI is needed (whether performed internally or by an external</w:t>
            </w:r>
          </w:p>
          <w:p>
            <w:pPr>
              <w:pStyle w:val="TableParagraph"/>
              <w:spacing w:line="209" w:lineRule="exact"/>
              <w:ind w:left="674"/>
              <w:rPr>
                <w:sz w:val="20"/>
              </w:rPr>
            </w:pPr>
            <w:r>
              <w:rPr>
                <w:sz w:val="20"/>
              </w:rPr>
              <w:t>entity)?</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2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2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2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2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23"/>
              </w:rPr>
            </w:pPr>
          </w:p>
          <w:p>
            <w:pPr>
              <w:pStyle w:val="TableParagraph"/>
              <w:ind w:left="5" w:right="218"/>
              <w:rPr>
                <w:sz w:val="16"/>
              </w:rPr>
            </w:pPr>
            <w:r>
              <w:rPr>
                <w:sz w:val="16"/>
              </w:rPr>
              <w:t>QSDF, Mgmt Stds, Section A</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582" w:hRule="atLeast"/>
        </w:trPr>
        <w:tc>
          <w:tcPr>
            <w:tcW w:w="6075" w:type="dxa"/>
            <w:tcBorders>
              <w:top w:val="single" w:sz="6" w:space="0" w:color="000000"/>
              <w:bottom w:val="single" w:sz="6" w:space="0" w:color="000000"/>
              <w:right w:val="single" w:sz="6" w:space="0" w:color="000000"/>
            </w:tcBorders>
          </w:tcPr>
          <w:p>
            <w:pPr>
              <w:pStyle w:val="TableParagraph"/>
              <w:spacing w:before="61"/>
              <w:ind w:left="674" w:right="131" w:hanging="360"/>
              <w:rPr>
                <w:sz w:val="20"/>
              </w:rPr>
            </w:pPr>
            <w:r>
              <w:rPr>
                <w:b/>
                <w:sz w:val="20"/>
              </w:rPr>
              <w:t>3. </w:t>
            </w:r>
            <w:r>
              <w:rPr>
                <w:sz w:val="20"/>
              </w:rPr>
              <w:t>Do examiners ensure they have the legal authority to search through the digital data they are examining?</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9"/>
              <w:ind w:left="5" w:right="280"/>
              <w:rPr>
                <w:sz w:val="16"/>
              </w:rPr>
            </w:pPr>
            <w:r>
              <w:rPr>
                <w:sz w:val="16"/>
              </w:rPr>
              <w:t>QSDF, Mgmt Stds, Para A.2</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688" w:hRule="atLeast"/>
        </w:trPr>
        <w:tc>
          <w:tcPr>
            <w:tcW w:w="6075" w:type="dxa"/>
            <w:tcBorders>
              <w:top w:val="single" w:sz="6" w:space="0" w:color="000000"/>
              <w:bottom w:val="single" w:sz="6" w:space="0" w:color="000000"/>
              <w:right w:val="single" w:sz="6" w:space="0" w:color="000000"/>
            </w:tcBorders>
          </w:tcPr>
          <w:p>
            <w:pPr>
              <w:pStyle w:val="TableParagraph"/>
              <w:ind w:left="674" w:right="287" w:hanging="360"/>
              <w:rPr>
                <w:sz w:val="20"/>
              </w:rPr>
            </w:pPr>
            <w:r>
              <w:rPr>
                <w:b/>
                <w:sz w:val="20"/>
              </w:rPr>
              <w:t>4. </w:t>
            </w:r>
            <w:r>
              <w:rPr>
                <w:sz w:val="20"/>
              </w:rPr>
              <w:t>Do examiners consult with the prosecutor or the organization’s counsel to resolve any questions about the</w:t>
            </w:r>
          </w:p>
          <w:p>
            <w:pPr>
              <w:pStyle w:val="TableParagraph"/>
              <w:spacing w:line="209" w:lineRule="exact"/>
              <w:ind w:left="674"/>
              <w:rPr>
                <w:sz w:val="20"/>
              </w:rPr>
            </w:pPr>
            <w:r>
              <w:rPr>
                <w:sz w:val="20"/>
              </w:rPr>
              <w:t>authority to conduct a forensic examination?</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61"/>
              <w:ind w:left="5" w:right="280"/>
              <w:rPr>
                <w:sz w:val="16"/>
              </w:rPr>
            </w:pPr>
            <w:r>
              <w:rPr>
                <w:sz w:val="16"/>
              </w:rPr>
              <w:t>QSDF, Mgmt Stds, Para A.2</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921" w:hRule="atLeast"/>
        </w:trPr>
        <w:tc>
          <w:tcPr>
            <w:tcW w:w="6075" w:type="dxa"/>
            <w:tcBorders>
              <w:top w:val="single" w:sz="6" w:space="0" w:color="000000"/>
              <w:right w:val="single" w:sz="6" w:space="0" w:color="000000"/>
            </w:tcBorders>
          </w:tcPr>
          <w:p>
            <w:pPr>
              <w:pStyle w:val="TableParagraph"/>
              <w:spacing w:line="230" w:lineRule="exact" w:before="3"/>
              <w:ind w:left="674" w:right="209" w:hanging="360"/>
              <w:rPr>
                <w:sz w:val="20"/>
              </w:rPr>
            </w:pPr>
            <w:r>
              <w:rPr>
                <w:b/>
                <w:sz w:val="20"/>
              </w:rPr>
              <w:t>5. </w:t>
            </w:r>
            <w:r>
              <w:rPr>
                <w:sz w:val="20"/>
              </w:rPr>
              <w:t>Is ESI handled and stored in a manner that precludes the inadvertent alteration or destruction of evidence by human interaction or environmental conditions, and is the chain of custody maintained?</w:t>
            </w:r>
          </w:p>
        </w:tc>
        <w:tc>
          <w:tcPr>
            <w:tcW w:w="540" w:type="dxa"/>
            <w:tcBorders>
              <w:top w:val="single" w:sz="6" w:space="0" w:color="000000"/>
              <w:left w:val="single" w:sz="6" w:space="0" w:color="000000"/>
              <w:right w:val="single" w:sz="6" w:space="0" w:color="000000"/>
            </w:tcBorders>
          </w:tcPr>
          <w:p>
            <w:pPr>
              <w:pStyle w:val="TableParagraph"/>
              <w:spacing w:before="6" w:after="1"/>
              <w:rPr>
                <w:rFonts w:ascii="Times New Roman"/>
                <w:sz w:val="2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6" w:after="1"/>
              <w:rPr>
                <w:rFonts w:ascii="Times New Roman"/>
                <w:sz w:val="2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6" w:after="1"/>
              <w:rPr>
                <w:rFonts w:ascii="Times New Roman"/>
                <w:sz w:val="2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6" w:after="1"/>
              <w:rPr>
                <w:rFonts w:ascii="Times New Roman"/>
                <w:sz w:val="2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6" w:after="1"/>
              <w:rPr>
                <w:rFonts w:ascii="Times New Roman"/>
                <w:sz w:val="2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right w:val="single" w:sz="6" w:space="0" w:color="000000"/>
            </w:tcBorders>
          </w:tcPr>
          <w:p>
            <w:pPr>
              <w:pStyle w:val="TableParagraph"/>
              <w:spacing w:before="1"/>
              <w:rPr>
                <w:rFonts w:ascii="Times New Roman"/>
                <w:sz w:val="24"/>
              </w:rPr>
            </w:pPr>
          </w:p>
          <w:p>
            <w:pPr>
              <w:pStyle w:val="TableParagraph"/>
              <w:ind w:left="5" w:right="280"/>
              <w:rPr>
                <w:sz w:val="16"/>
              </w:rPr>
            </w:pPr>
            <w:r>
              <w:rPr>
                <w:sz w:val="16"/>
              </w:rPr>
              <w:t>QSDF, Mgmt Stds, Para A.3</w:t>
            </w:r>
          </w:p>
        </w:tc>
        <w:tc>
          <w:tcPr>
            <w:tcW w:w="2386" w:type="dxa"/>
            <w:tcBorders>
              <w:top w:val="single" w:sz="6" w:space="0" w:color="000000"/>
              <w:left w:val="single" w:sz="6" w:space="0" w:color="000000"/>
            </w:tcBorders>
          </w:tcPr>
          <w:p>
            <w:pPr>
              <w:pStyle w:val="TableParagraph"/>
              <w:rPr>
                <w:rFonts w:ascii="Times New Roman"/>
                <w:sz w:val="18"/>
              </w:rPr>
            </w:pPr>
          </w:p>
        </w:tc>
      </w:tr>
    </w:tbl>
    <w:p>
      <w:pPr>
        <w:spacing w:after="0"/>
        <w:rPr>
          <w:rFonts w:ascii="Times New Roman"/>
          <w:sz w:val="18"/>
        </w:rPr>
        <w:sectPr>
          <w:headerReference w:type="default" r:id="rId5"/>
          <w:footerReference w:type="default" r:id="rId6"/>
          <w:type w:val="continuous"/>
          <w:pgSz w:w="15840" w:h="12240" w:orient="landscape"/>
          <w:pgMar w:header="729" w:footer="785" w:top="1440" w:bottom="980" w:left="840" w:right="820"/>
          <w:pgNumType w:start="1"/>
        </w:sectPr>
      </w:pPr>
    </w:p>
    <w:p>
      <w:pPr>
        <w:pStyle w:val="BodyText"/>
        <w:rPr>
          <w:sz w:val="1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5"/>
        <w:gridCol w:w="540"/>
        <w:gridCol w:w="540"/>
        <w:gridCol w:w="540"/>
        <w:gridCol w:w="540"/>
        <w:gridCol w:w="540"/>
        <w:gridCol w:w="1440"/>
        <w:gridCol w:w="1352"/>
        <w:gridCol w:w="2386"/>
      </w:tblGrid>
      <w:tr>
        <w:trPr>
          <w:trHeight w:val="1271" w:hRule="atLeast"/>
        </w:trPr>
        <w:tc>
          <w:tcPr>
            <w:tcW w:w="6075" w:type="dxa"/>
            <w:vMerge w:val="restart"/>
            <w:tcBorders>
              <w:bottom w:val="single" w:sz="6" w:space="0" w:color="000000"/>
              <w:right w:val="single" w:sz="6" w:space="0" w:color="000000"/>
            </w:tcBorders>
            <w:shd w:val="clear" w:color="auto" w:fill="E6E6E6"/>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2502" w:right="2495"/>
              <w:jc w:val="center"/>
              <w:rPr>
                <w:rFonts w:ascii="Calibri"/>
                <w:b/>
                <w:sz w:val="20"/>
              </w:rPr>
            </w:pPr>
            <w:r>
              <w:rPr>
                <w:rFonts w:ascii="Calibri"/>
                <w:b/>
                <w:sz w:val="20"/>
              </w:rPr>
              <w:t>Review Step</w:t>
            </w:r>
          </w:p>
        </w:tc>
        <w:tc>
          <w:tcPr>
            <w:tcW w:w="540" w:type="dxa"/>
            <w:vMerge w:val="restart"/>
            <w:tcBorders>
              <w:left w:val="single" w:sz="6" w:space="0" w:color="000000"/>
              <w:bottom w:val="single" w:sz="6" w:space="0" w:color="000000"/>
              <w:right w:val="single" w:sz="6" w:space="0" w:color="000000"/>
            </w:tcBorders>
            <w:shd w:val="clear" w:color="auto" w:fill="E6E6E6"/>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98"/>
              <w:rPr>
                <w:rFonts w:ascii="Calibri"/>
                <w:b/>
                <w:sz w:val="20"/>
              </w:rPr>
            </w:pPr>
            <w:r>
              <w:rPr>
                <w:rFonts w:ascii="Calibri"/>
                <w:b/>
                <w:sz w:val="20"/>
              </w:rPr>
              <w:t>N/A</w:t>
            </w:r>
          </w:p>
        </w:tc>
        <w:tc>
          <w:tcPr>
            <w:tcW w:w="1080" w:type="dxa"/>
            <w:gridSpan w:val="2"/>
            <w:tcBorders>
              <w:left w:val="single" w:sz="6" w:space="0" w:color="000000"/>
              <w:bottom w:val="single" w:sz="6" w:space="0" w:color="000000"/>
              <w:right w:val="single" w:sz="6" w:space="0" w:color="000000"/>
            </w:tcBorders>
            <w:shd w:val="clear" w:color="auto" w:fill="E6E6E6"/>
          </w:tcPr>
          <w:p>
            <w:pPr>
              <w:pStyle w:val="TableParagraph"/>
              <w:spacing w:before="2"/>
              <w:rPr>
                <w:rFonts w:ascii="Times New Roman"/>
                <w:sz w:val="22"/>
              </w:rPr>
            </w:pPr>
          </w:p>
          <w:p>
            <w:pPr>
              <w:pStyle w:val="TableParagraph"/>
              <w:spacing w:before="1"/>
              <w:ind w:left="156"/>
              <w:rPr>
                <w:rFonts w:ascii="Calibri"/>
                <w:b/>
                <w:sz w:val="22"/>
              </w:rPr>
            </w:pPr>
            <w:r>
              <w:rPr>
                <w:rFonts w:ascii="Calibri"/>
                <w:b/>
                <w:sz w:val="22"/>
                <w:u w:val="single"/>
              </w:rPr>
              <w:t>PHASE 1</w:t>
            </w:r>
          </w:p>
          <w:p>
            <w:pPr>
              <w:pStyle w:val="TableParagraph"/>
              <w:spacing w:before="2"/>
              <w:ind w:left="108" w:right="81" w:firstLine="141"/>
              <w:rPr>
                <w:rFonts w:ascii="Calibri"/>
                <w:b/>
                <w:sz w:val="20"/>
              </w:rPr>
            </w:pPr>
            <w:r>
              <w:rPr>
                <w:rFonts w:ascii="Calibri"/>
                <w:b/>
                <w:sz w:val="20"/>
              </w:rPr>
              <w:t>Policy/ Procedure</w:t>
            </w:r>
          </w:p>
        </w:tc>
        <w:tc>
          <w:tcPr>
            <w:tcW w:w="1080" w:type="dxa"/>
            <w:gridSpan w:val="2"/>
            <w:tcBorders>
              <w:left w:val="single" w:sz="6" w:space="0" w:color="000000"/>
              <w:bottom w:val="single" w:sz="6" w:space="0" w:color="000000"/>
              <w:right w:val="single" w:sz="6" w:space="0" w:color="000000"/>
            </w:tcBorders>
            <w:shd w:val="clear" w:color="auto" w:fill="E6E6E6"/>
          </w:tcPr>
          <w:p>
            <w:pPr>
              <w:pStyle w:val="TableParagraph"/>
              <w:spacing w:before="3"/>
              <w:rPr>
                <w:rFonts w:ascii="Times New Roman"/>
                <w:sz w:val="23"/>
              </w:rPr>
            </w:pPr>
          </w:p>
          <w:p>
            <w:pPr>
              <w:pStyle w:val="TableParagraph"/>
              <w:ind w:left="156"/>
              <w:rPr>
                <w:rFonts w:ascii="Calibri"/>
                <w:b/>
                <w:sz w:val="22"/>
              </w:rPr>
            </w:pPr>
            <w:r>
              <w:rPr>
                <w:rFonts w:ascii="Calibri"/>
                <w:b/>
                <w:sz w:val="22"/>
                <w:u w:val="single"/>
              </w:rPr>
              <w:t>PHASE 2</w:t>
            </w:r>
          </w:p>
          <w:p>
            <w:pPr>
              <w:pStyle w:val="TableParagraph"/>
              <w:spacing w:before="3"/>
              <w:ind w:left="206" w:hanging="108"/>
              <w:rPr>
                <w:rFonts w:ascii="Calibri"/>
                <w:b/>
                <w:sz w:val="20"/>
              </w:rPr>
            </w:pPr>
            <w:r>
              <w:rPr>
                <w:rFonts w:ascii="Calibri"/>
                <w:b/>
                <w:w w:val="95"/>
                <w:sz w:val="20"/>
              </w:rPr>
              <w:t>Consistent </w:t>
            </w:r>
            <w:r>
              <w:rPr>
                <w:rFonts w:ascii="Calibri"/>
                <w:b/>
                <w:sz w:val="20"/>
              </w:rPr>
              <w:t>Practice</w:t>
            </w:r>
          </w:p>
        </w:tc>
        <w:tc>
          <w:tcPr>
            <w:tcW w:w="1440" w:type="dxa"/>
            <w:vMerge w:val="restart"/>
            <w:tcBorders>
              <w:left w:val="single" w:sz="6" w:space="0" w:color="000000"/>
              <w:bottom w:val="single" w:sz="6" w:space="0" w:color="000000"/>
              <w:right w:val="single" w:sz="6" w:space="0" w:color="000000"/>
            </w:tcBorders>
            <w:shd w:val="clear" w:color="auto" w:fill="E6E6E6"/>
          </w:tcPr>
          <w:p>
            <w:pPr>
              <w:pStyle w:val="TableParagraph"/>
              <w:spacing w:before="1"/>
              <w:rPr>
                <w:rFonts w:ascii="Times New Roman"/>
                <w:sz w:val="24"/>
              </w:rPr>
            </w:pPr>
          </w:p>
          <w:p>
            <w:pPr>
              <w:pStyle w:val="TableParagraph"/>
              <w:ind w:left="110" w:right="102"/>
              <w:jc w:val="center"/>
              <w:rPr>
                <w:rFonts w:ascii="Calibri"/>
                <w:b/>
                <w:sz w:val="20"/>
              </w:rPr>
            </w:pPr>
            <w:r>
              <w:rPr>
                <w:rFonts w:ascii="Calibri"/>
                <w:b/>
                <w:sz w:val="20"/>
              </w:rPr>
              <w:t>Reviewed Agency Policy/Manual Reference</w:t>
            </w:r>
          </w:p>
        </w:tc>
        <w:tc>
          <w:tcPr>
            <w:tcW w:w="1352" w:type="dxa"/>
            <w:vMerge w:val="restart"/>
            <w:tcBorders>
              <w:left w:val="single" w:sz="6" w:space="0" w:color="000000"/>
              <w:bottom w:val="single" w:sz="6" w:space="0" w:color="000000"/>
              <w:right w:val="single" w:sz="6" w:space="0" w:color="000000"/>
            </w:tcBorders>
            <w:shd w:val="clear" w:color="auto" w:fill="E6E6E6"/>
          </w:tcPr>
          <w:p>
            <w:pPr>
              <w:pStyle w:val="TableParagraph"/>
              <w:rPr>
                <w:rFonts w:ascii="Times New Roman"/>
                <w:sz w:val="20"/>
              </w:rPr>
            </w:pPr>
          </w:p>
          <w:p>
            <w:pPr>
              <w:pStyle w:val="TableParagraph"/>
              <w:spacing w:before="169"/>
              <w:ind w:left="427" w:right="420"/>
              <w:jc w:val="center"/>
              <w:rPr>
                <w:rFonts w:ascii="Calibri"/>
                <w:b/>
                <w:sz w:val="20"/>
              </w:rPr>
            </w:pPr>
            <w:r>
              <w:rPr>
                <w:rFonts w:ascii="Calibri"/>
                <w:b/>
                <w:sz w:val="20"/>
              </w:rPr>
              <w:t>QSDF</w:t>
            </w:r>
          </w:p>
          <w:p>
            <w:pPr>
              <w:pStyle w:val="TableParagraph"/>
              <w:spacing w:before="1"/>
              <w:ind w:left="252" w:right="241" w:hanging="7"/>
              <w:jc w:val="center"/>
              <w:rPr>
                <w:rFonts w:ascii="Calibri"/>
                <w:b/>
                <w:sz w:val="20"/>
              </w:rPr>
            </w:pPr>
            <w:r>
              <w:rPr>
                <w:rFonts w:ascii="Calibri"/>
                <w:b/>
                <w:sz w:val="20"/>
              </w:rPr>
              <w:t>Guideline </w:t>
            </w:r>
            <w:r>
              <w:rPr>
                <w:rFonts w:ascii="Calibri"/>
                <w:b/>
                <w:w w:val="95"/>
                <w:sz w:val="20"/>
              </w:rPr>
              <w:t>Reference</w:t>
            </w:r>
          </w:p>
        </w:tc>
        <w:tc>
          <w:tcPr>
            <w:tcW w:w="2386" w:type="dxa"/>
            <w:vMerge w:val="restart"/>
            <w:tcBorders>
              <w:left w:val="single" w:sz="6" w:space="0" w:color="000000"/>
              <w:bottom w:val="single" w:sz="6" w:space="0" w:color="000000"/>
            </w:tcBorders>
            <w:shd w:val="clear" w:color="auto" w:fill="E6E6E6"/>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739"/>
              <w:rPr>
                <w:rFonts w:ascii="Calibri"/>
                <w:b/>
                <w:sz w:val="20"/>
              </w:rPr>
            </w:pPr>
            <w:r>
              <w:rPr>
                <w:rFonts w:ascii="Calibri"/>
                <w:b/>
                <w:sz w:val="20"/>
              </w:rPr>
              <w:t>Comments</w:t>
            </w:r>
          </w:p>
        </w:tc>
      </w:tr>
      <w:tr>
        <w:trPr>
          <w:trHeight w:val="244" w:hRule="atLeast"/>
        </w:trPr>
        <w:tc>
          <w:tcPr>
            <w:tcW w:w="6075" w:type="dxa"/>
            <w:vMerge/>
            <w:tcBorders>
              <w:top w:val="nil"/>
              <w:bottom w:val="single" w:sz="6" w:space="0" w:color="000000"/>
              <w:right w:val="single" w:sz="6" w:space="0" w:color="000000"/>
            </w:tcBorders>
            <w:shd w:val="clear" w:color="auto" w:fill="E6E6E6"/>
          </w:tcPr>
          <w:p>
            <w:pPr>
              <w:rPr>
                <w:sz w:val="2"/>
                <w:szCs w:val="2"/>
              </w:rPr>
            </w:pPr>
          </w:p>
        </w:tc>
        <w:tc>
          <w:tcPr>
            <w:tcW w:w="540" w:type="dxa"/>
            <w:vMerge/>
            <w:tcBorders>
              <w:top w:val="nil"/>
              <w:left w:val="single" w:sz="6" w:space="0" w:color="000000"/>
              <w:bottom w:val="single" w:sz="6" w:space="0" w:color="000000"/>
              <w:right w:val="single" w:sz="6" w:space="0" w:color="000000"/>
            </w:tcBorders>
            <w:shd w:val="clear" w:color="auto" w:fill="E6E6E6"/>
          </w:tcPr>
          <w:p>
            <w:pPr>
              <w:rPr>
                <w:sz w:val="2"/>
                <w:szCs w:val="2"/>
              </w:rPr>
            </w:pP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24"/>
              <w:rPr>
                <w:rFonts w:ascii="Calibri"/>
                <w:b/>
                <w:sz w:val="20"/>
              </w:rPr>
            </w:pPr>
            <w:r>
              <w:rPr>
                <w:rFonts w:ascii="Calibri"/>
                <w:b/>
                <w:sz w:val="20"/>
              </w:rPr>
              <w:t>Yes</w:t>
            </w: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46"/>
              <w:rPr>
                <w:rFonts w:ascii="Calibri"/>
                <w:b/>
                <w:sz w:val="20"/>
              </w:rPr>
            </w:pPr>
            <w:r>
              <w:rPr>
                <w:rFonts w:ascii="Calibri"/>
                <w:b/>
                <w:sz w:val="20"/>
              </w:rPr>
              <w:t>No</w:t>
            </w: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25"/>
              <w:rPr>
                <w:rFonts w:ascii="Calibri"/>
                <w:b/>
                <w:sz w:val="20"/>
              </w:rPr>
            </w:pPr>
            <w:r>
              <w:rPr>
                <w:rFonts w:ascii="Calibri"/>
                <w:b/>
                <w:sz w:val="20"/>
              </w:rPr>
              <w:t>Yes</w:t>
            </w: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46"/>
              <w:rPr>
                <w:rFonts w:ascii="Calibri"/>
                <w:b/>
                <w:sz w:val="20"/>
              </w:rPr>
            </w:pPr>
            <w:r>
              <w:rPr>
                <w:rFonts w:ascii="Calibri"/>
                <w:b/>
                <w:sz w:val="20"/>
              </w:rPr>
              <w:t>No</w:t>
            </w:r>
          </w:p>
        </w:tc>
        <w:tc>
          <w:tcPr>
            <w:tcW w:w="1440" w:type="dxa"/>
            <w:vMerge/>
            <w:tcBorders>
              <w:top w:val="nil"/>
              <w:left w:val="single" w:sz="6" w:space="0" w:color="000000"/>
              <w:bottom w:val="single" w:sz="6" w:space="0" w:color="000000"/>
              <w:right w:val="single" w:sz="6" w:space="0" w:color="000000"/>
            </w:tcBorders>
            <w:shd w:val="clear" w:color="auto" w:fill="E6E6E6"/>
          </w:tcPr>
          <w:p>
            <w:pPr>
              <w:rPr>
                <w:sz w:val="2"/>
                <w:szCs w:val="2"/>
              </w:rPr>
            </w:pPr>
          </w:p>
        </w:tc>
        <w:tc>
          <w:tcPr>
            <w:tcW w:w="1352" w:type="dxa"/>
            <w:vMerge/>
            <w:tcBorders>
              <w:top w:val="nil"/>
              <w:left w:val="single" w:sz="6" w:space="0" w:color="000000"/>
              <w:bottom w:val="single" w:sz="6" w:space="0" w:color="000000"/>
              <w:right w:val="single" w:sz="6" w:space="0" w:color="000000"/>
            </w:tcBorders>
            <w:shd w:val="clear" w:color="auto" w:fill="E6E6E6"/>
          </w:tcPr>
          <w:p>
            <w:pPr>
              <w:rPr>
                <w:sz w:val="2"/>
                <w:szCs w:val="2"/>
              </w:rPr>
            </w:pPr>
          </w:p>
        </w:tc>
        <w:tc>
          <w:tcPr>
            <w:tcW w:w="2386" w:type="dxa"/>
            <w:vMerge/>
            <w:tcBorders>
              <w:top w:val="nil"/>
              <w:left w:val="single" w:sz="6" w:space="0" w:color="000000"/>
              <w:bottom w:val="single" w:sz="6" w:space="0" w:color="000000"/>
            </w:tcBorders>
            <w:shd w:val="clear" w:color="auto" w:fill="E6E6E6"/>
          </w:tcPr>
          <w:p>
            <w:pPr>
              <w:rPr>
                <w:sz w:val="2"/>
                <w:szCs w:val="2"/>
              </w:rPr>
            </w:pPr>
          </w:p>
        </w:tc>
      </w:tr>
      <w:tr>
        <w:trPr>
          <w:trHeight w:val="919" w:hRule="atLeast"/>
        </w:trPr>
        <w:tc>
          <w:tcPr>
            <w:tcW w:w="6075" w:type="dxa"/>
            <w:tcBorders>
              <w:top w:val="single" w:sz="6" w:space="0" w:color="000000"/>
              <w:bottom w:val="single" w:sz="6" w:space="0" w:color="000000"/>
              <w:right w:val="single" w:sz="6" w:space="0" w:color="000000"/>
            </w:tcBorders>
          </w:tcPr>
          <w:p>
            <w:pPr>
              <w:pStyle w:val="TableParagraph"/>
              <w:ind w:left="674" w:right="399" w:hanging="360"/>
              <w:rPr>
                <w:sz w:val="20"/>
              </w:rPr>
            </w:pPr>
            <w:r>
              <w:rPr>
                <w:b/>
                <w:sz w:val="20"/>
              </w:rPr>
              <w:t>6. </w:t>
            </w:r>
            <w:r>
              <w:rPr>
                <w:sz w:val="20"/>
              </w:rPr>
              <w:t>Is a digital forensic examination report written when an examiner provides expert opinion, interprets digital data, draws conclusions, or uses specialized digital</w:t>
            </w:r>
            <w:r>
              <w:rPr>
                <w:spacing w:val="-10"/>
                <w:sz w:val="20"/>
              </w:rPr>
              <w:t> </w:t>
            </w:r>
            <w:r>
              <w:rPr>
                <w:sz w:val="20"/>
              </w:rPr>
              <w:t>forensic</w:t>
            </w:r>
          </w:p>
          <w:p>
            <w:pPr>
              <w:pStyle w:val="TableParagraph"/>
              <w:spacing w:line="210" w:lineRule="exact"/>
              <w:ind w:left="674"/>
              <w:rPr>
                <w:sz w:val="20"/>
              </w:rPr>
            </w:pPr>
            <w:r>
              <w:rPr>
                <w:sz w:val="20"/>
              </w:rPr>
              <w:t>knowledge or techniques to recover/reconstruct</w:t>
            </w:r>
            <w:r>
              <w:rPr>
                <w:spacing w:val="-14"/>
                <w:sz w:val="20"/>
              </w:rPr>
              <w:t> </w:t>
            </w:r>
            <w:r>
              <w:rPr>
                <w:sz w:val="20"/>
              </w:rPr>
              <w:t>info?*</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after="1"/>
              <w:rPr>
                <w:rFonts w:ascii="Times New Roman"/>
                <w:sz w:val="2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after="1"/>
              <w:rPr>
                <w:rFonts w:ascii="Times New Roman"/>
                <w:sz w:val="2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after="1"/>
              <w:rPr>
                <w:rFonts w:ascii="Times New Roman"/>
                <w:sz w:val="2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after="1"/>
              <w:rPr>
                <w:rFonts w:ascii="Times New Roman"/>
                <w:sz w:val="2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after="1"/>
              <w:rPr>
                <w:rFonts w:ascii="Times New Roman"/>
                <w:sz w:val="2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9"/>
              <w:rPr>
                <w:rFonts w:ascii="Times New Roman"/>
                <w:sz w:val="23"/>
              </w:rPr>
            </w:pPr>
          </w:p>
          <w:p>
            <w:pPr>
              <w:pStyle w:val="TableParagraph"/>
              <w:spacing w:before="1"/>
              <w:ind w:left="5" w:right="280"/>
              <w:rPr>
                <w:sz w:val="16"/>
              </w:rPr>
            </w:pPr>
            <w:r>
              <w:rPr>
                <w:sz w:val="16"/>
              </w:rPr>
              <w:t>QSDF, Mgmt Stds, Para A.4</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690" w:hRule="atLeast"/>
        </w:trPr>
        <w:tc>
          <w:tcPr>
            <w:tcW w:w="6075" w:type="dxa"/>
            <w:tcBorders>
              <w:top w:val="single" w:sz="6" w:space="0" w:color="000000"/>
              <w:bottom w:val="single" w:sz="6" w:space="0" w:color="000000"/>
              <w:right w:val="single" w:sz="6" w:space="0" w:color="000000"/>
            </w:tcBorders>
          </w:tcPr>
          <w:p>
            <w:pPr>
              <w:pStyle w:val="TableParagraph"/>
              <w:spacing w:line="230" w:lineRule="exact" w:before="3"/>
              <w:ind w:left="674" w:right="131" w:hanging="360"/>
              <w:rPr>
                <w:sz w:val="20"/>
              </w:rPr>
            </w:pPr>
            <w:r>
              <w:rPr>
                <w:b/>
                <w:sz w:val="20"/>
              </w:rPr>
              <w:t>7. </w:t>
            </w:r>
            <w:r>
              <w:rPr>
                <w:sz w:val="20"/>
              </w:rPr>
              <w:t>Do digital forensic examination reports or summaries of extractions or other activities, together with associated documentation in the official file, include the following:</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61"/>
              <w:ind w:left="5" w:right="280"/>
              <w:rPr>
                <w:sz w:val="16"/>
              </w:rPr>
            </w:pPr>
            <w:r>
              <w:rPr>
                <w:sz w:val="16"/>
              </w:rPr>
              <w:t>QSDF, Mgmt Stds, Para A.4</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578" w:hRule="atLeast"/>
        </w:trPr>
        <w:tc>
          <w:tcPr>
            <w:tcW w:w="6075" w:type="dxa"/>
            <w:tcBorders>
              <w:top w:val="single" w:sz="6" w:space="0" w:color="000000"/>
              <w:bottom w:val="single" w:sz="6" w:space="0" w:color="000000"/>
              <w:right w:val="single" w:sz="6" w:space="0" w:color="000000"/>
            </w:tcBorders>
          </w:tcPr>
          <w:p>
            <w:pPr>
              <w:pStyle w:val="TableParagraph"/>
              <w:spacing w:before="172"/>
              <w:ind w:left="674"/>
              <w:rPr>
                <w:sz w:val="20"/>
              </w:rPr>
            </w:pPr>
            <w:r>
              <w:rPr>
                <w:sz w:val="20"/>
              </w:rPr>
              <w:t>a. Identity of reporting organization.</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5" w:after="1"/>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5" w:after="1"/>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5" w:after="1"/>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5" w:after="1"/>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5" w:after="1"/>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4"/>
              <w:ind w:left="5" w:right="280"/>
              <w:rPr>
                <w:sz w:val="16"/>
              </w:rPr>
            </w:pPr>
            <w:r>
              <w:rPr>
                <w:sz w:val="16"/>
              </w:rPr>
              <w:t>QSDF, Mgmt Stds, Para A.4</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580" w:hRule="atLeast"/>
        </w:trPr>
        <w:tc>
          <w:tcPr>
            <w:tcW w:w="6075" w:type="dxa"/>
            <w:tcBorders>
              <w:top w:val="single" w:sz="6" w:space="0" w:color="000000"/>
              <w:bottom w:val="single" w:sz="6" w:space="0" w:color="000000"/>
              <w:right w:val="single" w:sz="6" w:space="0" w:color="000000"/>
            </w:tcBorders>
          </w:tcPr>
          <w:p>
            <w:pPr>
              <w:pStyle w:val="TableParagraph"/>
              <w:spacing w:before="174"/>
              <w:ind w:left="674"/>
              <w:rPr>
                <w:sz w:val="20"/>
              </w:rPr>
            </w:pPr>
            <w:r>
              <w:rPr>
                <w:sz w:val="20"/>
              </w:rPr>
              <w:t>b. Case identifier or submission number.</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6"/>
              <w:ind w:left="5" w:right="280"/>
              <w:rPr>
                <w:sz w:val="16"/>
              </w:rPr>
            </w:pPr>
            <w:r>
              <w:rPr>
                <w:sz w:val="16"/>
              </w:rPr>
              <w:t>QSDF, Mgmt Stds, Para A.4</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583" w:hRule="atLeast"/>
        </w:trPr>
        <w:tc>
          <w:tcPr>
            <w:tcW w:w="6075" w:type="dxa"/>
            <w:tcBorders>
              <w:top w:val="single" w:sz="6" w:space="0" w:color="000000"/>
              <w:bottom w:val="single" w:sz="6" w:space="0" w:color="000000"/>
              <w:right w:val="single" w:sz="6" w:space="0" w:color="000000"/>
            </w:tcBorders>
          </w:tcPr>
          <w:p>
            <w:pPr>
              <w:pStyle w:val="TableParagraph"/>
              <w:tabs>
                <w:tab w:pos="1034" w:val="left" w:leader="none"/>
              </w:tabs>
              <w:spacing w:before="177"/>
              <w:ind w:left="674"/>
              <w:rPr>
                <w:sz w:val="20"/>
              </w:rPr>
            </w:pPr>
            <w:r>
              <w:rPr>
                <w:sz w:val="20"/>
              </w:rPr>
              <w:t>c.</w:t>
              <w:tab/>
              <w:t>Identity of the</w:t>
            </w:r>
            <w:r>
              <w:rPr>
                <w:spacing w:val="-3"/>
                <w:sz w:val="20"/>
              </w:rPr>
              <w:t> </w:t>
            </w:r>
            <w:r>
              <w:rPr>
                <w:sz w:val="20"/>
              </w:rPr>
              <w:t>submitter.</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9"/>
              <w:ind w:left="5" w:right="280"/>
              <w:rPr>
                <w:sz w:val="16"/>
              </w:rPr>
            </w:pPr>
            <w:r>
              <w:rPr>
                <w:sz w:val="16"/>
              </w:rPr>
              <w:t>QSDF, Mgmt Stds, Para A.4</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580" w:hRule="atLeast"/>
        </w:trPr>
        <w:tc>
          <w:tcPr>
            <w:tcW w:w="6075" w:type="dxa"/>
            <w:tcBorders>
              <w:top w:val="single" w:sz="6" w:space="0" w:color="000000"/>
              <w:bottom w:val="single" w:sz="6" w:space="0" w:color="000000"/>
              <w:right w:val="single" w:sz="6" w:space="0" w:color="000000"/>
            </w:tcBorders>
          </w:tcPr>
          <w:p>
            <w:pPr>
              <w:pStyle w:val="TableParagraph"/>
              <w:spacing w:before="174"/>
              <w:ind w:left="674"/>
              <w:rPr>
                <w:sz w:val="20"/>
              </w:rPr>
            </w:pPr>
            <w:r>
              <w:rPr>
                <w:sz w:val="20"/>
              </w:rPr>
              <w:t>d. Relevant dates, including report or summary date.</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6"/>
              <w:ind w:left="5" w:right="280"/>
              <w:rPr>
                <w:sz w:val="16"/>
              </w:rPr>
            </w:pPr>
            <w:r>
              <w:rPr>
                <w:sz w:val="16"/>
              </w:rPr>
              <w:t>QSDF, Mgmt Stds, Para A.4</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580" w:hRule="atLeast"/>
        </w:trPr>
        <w:tc>
          <w:tcPr>
            <w:tcW w:w="6075" w:type="dxa"/>
            <w:tcBorders>
              <w:top w:val="single" w:sz="6" w:space="0" w:color="000000"/>
              <w:bottom w:val="single" w:sz="6" w:space="0" w:color="000000"/>
              <w:right w:val="single" w:sz="6" w:space="0" w:color="000000"/>
            </w:tcBorders>
          </w:tcPr>
          <w:p>
            <w:pPr>
              <w:pStyle w:val="TableParagraph"/>
              <w:spacing w:before="174"/>
              <w:ind w:left="674"/>
              <w:rPr>
                <w:sz w:val="20"/>
              </w:rPr>
            </w:pPr>
            <w:r>
              <w:rPr>
                <w:sz w:val="20"/>
              </w:rPr>
              <w:t>e. Descriptive list of the evidence examined.</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6"/>
              <w:ind w:left="5" w:right="280"/>
              <w:rPr>
                <w:sz w:val="16"/>
              </w:rPr>
            </w:pPr>
            <w:r>
              <w:rPr>
                <w:sz w:val="16"/>
              </w:rPr>
              <w:t>QSDF, Mgmt Stds, Para A.4</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582" w:hRule="atLeast"/>
        </w:trPr>
        <w:tc>
          <w:tcPr>
            <w:tcW w:w="6075" w:type="dxa"/>
            <w:tcBorders>
              <w:top w:val="single" w:sz="6" w:space="0" w:color="000000"/>
              <w:bottom w:val="single" w:sz="6" w:space="0" w:color="000000"/>
              <w:right w:val="single" w:sz="6" w:space="0" w:color="000000"/>
            </w:tcBorders>
          </w:tcPr>
          <w:p>
            <w:pPr>
              <w:pStyle w:val="TableParagraph"/>
              <w:tabs>
                <w:tab w:pos="1034" w:val="left" w:leader="none"/>
              </w:tabs>
              <w:spacing w:before="177"/>
              <w:ind w:left="674"/>
              <w:rPr>
                <w:sz w:val="20"/>
              </w:rPr>
            </w:pPr>
            <w:r>
              <w:rPr>
                <w:sz w:val="20"/>
              </w:rPr>
              <w:t>f.</w:t>
              <w:tab/>
              <w:t>Examination or other actions</w:t>
            </w:r>
            <w:r>
              <w:rPr>
                <w:spacing w:val="-2"/>
                <w:sz w:val="20"/>
              </w:rPr>
              <w:t> </w:t>
            </w:r>
            <w:r>
              <w:rPr>
                <w:sz w:val="20"/>
              </w:rPr>
              <w:t>requested.</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9"/>
              <w:ind w:left="5" w:right="280"/>
              <w:rPr>
                <w:sz w:val="16"/>
              </w:rPr>
            </w:pPr>
            <w:r>
              <w:rPr>
                <w:sz w:val="16"/>
              </w:rPr>
              <w:t>QSDF, Mgmt Stds, Para A.4</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580" w:hRule="atLeast"/>
        </w:trPr>
        <w:tc>
          <w:tcPr>
            <w:tcW w:w="6075" w:type="dxa"/>
            <w:tcBorders>
              <w:top w:val="single" w:sz="6" w:space="0" w:color="000000"/>
              <w:bottom w:val="single" w:sz="6" w:space="0" w:color="000000"/>
              <w:right w:val="single" w:sz="6" w:space="0" w:color="000000"/>
            </w:tcBorders>
          </w:tcPr>
          <w:p>
            <w:pPr>
              <w:pStyle w:val="TableParagraph"/>
              <w:spacing w:before="59"/>
              <w:ind w:left="1034" w:right="131" w:hanging="361"/>
              <w:rPr>
                <w:sz w:val="20"/>
              </w:rPr>
            </w:pPr>
            <w:r>
              <w:rPr>
                <w:sz w:val="20"/>
              </w:rPr>
              <w:t>g. Description of the examination or other actions, as appropriate.</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6"/>
              <w:ind w:left="5" w:right="280"/>
              <w:rPr>
                <w:sz w:val="16"/>
              </w:rPr>
            </w:pPr>
            <w:r>
              <w:rPr>
                <w:sz w:val="16"/>
              </w:rPr>
              <w:t>QSDF, Mgmt Stds, Para A.4</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580" w:hRule="atLeast"/>
        </w:trPr>
        <w:tc>
          <w:tcPr>
            <w:tcW w:w="6075" w:type="dxa"/>
            <w:tcBorders>
              <w:top w:val="single" w:sz="6" w:space="0" w:color="000000"/>
              <w:bottom w:val="single" w:sz="6" w:space="0" w:color="000000"/>
              <w:right w:val="single" w:sz="6" w:space="0" w:color="000000"/>
            </w:tcBorders>
          </w:tcPr>
          <w:p>
            <w:pPr>
              <w:pStyle w:val="TableParagraph"/>
              <w:spacing w:before="60"/>
              <w:ind w:left="1034" w:right="131" w:hanging="361"/>
              <w:rPr>
                <w:sz w:val="20"/>
              </w:rPr>
            </w:pPr>
            <w:r>
              <w:rPr>
                <w:sz w:val="20"/>
              </w:rPr>
              <w:t>h. Name and signature (handwritten or digital) of the examiner.</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after="1"/>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after="1"/>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after="1"/>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after="1"/>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after="1"/>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7"/>
              <w:ind w:left="5" w:right="280"/>
              <w:rPr>
                <w:sz w:val="16"/>
              </w:rPr>
            </w:pPr>
            <w:r>
              <w:rPr>
                <w:sz w:val="16"/>
              </w:rPr>
              <w:t>QSDF, Mgmt Stds, Para A.4</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582" w:hRule="atLeast"/>
        </w:trPr>
        <w:tc>
          <w:tcPr>
            <w:tcW w:w="6075" w:type="dxa"/>
            <w:tcBorders>
              <w:top w:val="single" w:sz="6" w:space="0" w:color="000000"/>
              <w:bottom w:val="single" w:sz="6" w:space="0" w:color="000000"/>
              <w:right w:val="single" w:sz="6" w:space="0" w:color="000000"/>
            </w:tcBorders>
          </w:tcPr>
          <w:p>
            <w:pPr>
              <w:pStyle w:val="TableParagraph"/>
              <w:tabs>
                <w:tab w:pos="1034" w:val="left" w:leader="none"/>
              </w:tabs>
              <w:spacing w:before="177"/>
              <w:ind w:left="674"/>
              <w:rPr>
                <w:sz w:val="20"/>
              </w:rPr>
            </w:pPr>
            <w:r>
              <w:rPr>
                <w:sz w:val="20"/>
              </w:rPr>
              <w:t>i.</w:t>
              <w:tab/>
              <w:t>Results, conclusions, and derived items, as</w:t>
            </w:r>
            <w:r>
              <w:rPr>
                <w:spacing w:val="-11"/>
                <w:sz w:val="20"/>
              </w:rPr>
              <w:t> </w:t>
            </w:r>
            <w:r>
              <w:rPr>
                <w:sz w:val="20"/>
              </w:rPr>
              <w:t>appropriate.</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9"/>
              <w:ind w:left="5" w:right="280"/>
              <w:rPr>
                <w:sz w:val="16"/>
              </w:rPr>
            </w:pPr>
            <w:r>
              <w:rPr>
                <w:sz w:val="16"/>
              </w:rPr>
              <w:t>QSDF, Mgmt Stds, Para A.4</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580" w:hRule="atLeast"/>
        </w:trPr>
        <w:tc>
          <w:tcPr>
            <w:tcW w:w="6075" w:type="dxa"/>
            <w:tcBorders>
              <w:top w:val="single" w:sz="6" w:space="0" w:color="000000"/>
              <w:right w:val="single" w:sz="6" w:space="0" w:color="000000"/>
            </w:tcBorders>
          </w:tcPr>
          <w:p>
            <w:pPr>
              <w:pStyle w:val="TableParagraph"/>
              <w:tabs>
                <w:tab w:pos="1034" w:val="left" w:leader="none"/>
              </w:tabs>
              <w:spacing w:before="59"/>
              <w:ind w:left="1034" w:right="301" w:hanging="361"/>
              <w:rPr>
                <w:sz w:val="20"/>
              </w:rPr>
            </w:pPr>
            <w:r>
              <w:rPr>
                <w:sz w:val="20"/>
              </w:rPr>
              <w:t>j.</w:t>
              <w:tab/>
              <w:t>Contemporaneous work notes (or detailed automated logs).*</w:t>
            </w:r>
          </w:p>
        </w:tc>
        <w:tc>
          <w:tcPr>
            <w:tcW w:w="540" w:type="dxa"/>
            <w:tcBorders>
              <w:top w:val="single" w:sz="6" w:space="0" w:color="000000"/>
              <w:left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right w:val="single" w:sz="6" w:space="0" w:color="000000"/>
            </w:tcBorders>
          </w:tcPr>
          <w:p>
            <w:pPr>
              <w:pStyle w:val="TableParagraph"/>
              <w:spacing w:before="106"/>
              <w:ind w:left="5" w:right="280"/>
              <w:rPr>
                <w:sz w:val="16"/>
              </w:rPr>
            </w:pPr>
            <w:r>
              <w:rPr>
                <w:sz w:val="16"/>
              </w:rPr>
              <w:t>QSDF, Mgmt Stds, Para A.4</w:t>
            </w:r>
          </w:p>
        </w:tc>
        <w:tc>
          <w:tcPr>
            <w:tcW w:w="2386" w:type="dxa"/>
            <w:tcBorders>
              <w:top w:val="single" w:sz="6" w:space="0" w:color="000000"/>
              <w:left w:val="single" w:sz="6" w:space="0" w:color="000000"/>
            </w:tcBorders>
          </w:tcPr>
          <w:p>
            <w:pPr>
              <w:pStyle w:val="TableParagraph"/>
              <w:rPr>
                <w:rFonts w:ascii="Times New Roman"/>
                <w:sz w:val="18"/>
              </w:rPr>
            </w:pPr>
          </w:p>
        </w:tc>
      </w:tr>
    </w:tbl>
    <w:p>
      <w:pPr>
        <w:spacing w:after="0"/>
        <w:rPr>
          <w:rFonts w:ascii="Times New Roman"/>
          <w:sz w:val="18"/>
        </w:rPr>
        <w:sectPr>
          <w:pgSz w:w="15840" w:h="12240" w:orient="landscape"/>
          <w:pgMar w:header="729" w:footer="785" w:top="1440" w:bottom="980" w:left="840" w:right="820"/>
        </w:sectPr>
      </w:pPr>
    </w:p>
    <w:p>
      <w:pPr>
        <w:pStyle w:val="BodyText"/>
        <w:rPr>
          <w:sz w:val="1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5"/>
        <w:gridCol w:w="540"/>
        <w:gridCol w:w="540"/>
        <w:gridCol w:w="540"/>
        <w:gridCol w:w="540"/>
        <w:gridCol w:w="540"/>
        <w:gridCol w:w="1440"/>
        <w:gridCol w:w="1352"/>
        <w:gridCol w:w="2386"/>
      </w:tblGrid>
      <w:tr>
        <w:trPr>
          <w:trHeight w:val="1271" w:hRule="atLeast"/>
        </w:trPr>
        <w:tc>
          <w:tcPr>
            <w:tcW w:w="6075" w:type="dxa"/>
            <w:vMerge w:val="restart"/>
            <w:tcBorders>
              <w:bottom w:val="single" w:sz="6" w:space="0" w:color="000000"/>
              <w:right w:val="single" w:sz="6" w:space="0" w:color="000000"/>
            </w:tcBorders>
            <w:shd w:val="clear" w:color="auto" w:fill="E6E6E6"/>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2502" w:right="2495"/>
              <w:jc w:val="center"/>
              <w:rPr>
                <w:rFonts w:ascii="Calibri"/>
                <w:b/>
                <w:sz w:val="20"/>
              </w:rPr>
            </w:pPr>
            <w:r>
              <w:rPr>
                <w:rFonts w:ascii="Calibri"/>
                <w:b/>
                <w:sz w:val="20"/>
              </w:rPr>
              <w:t>Review Step</w:t>
            </w:r>
          </w:p>
        </w:tc>
        <w:tc>
          <w:tcPr>
            <w:tcW w:w="540" w:type="dxa"/>
            <w:vMerge w:val="restart"/>
            <w:tcBorders>
              <w:left w:val="single" w:sz="6" w:space="0" w:color="000000"/>
              <w:bottom w:val="single" w:sz="6" w:space="0" w:color="000000"/>
              <w:right w:val="single" w:sz="6" w:space="0" w:color="000000"/>
            </w:tcBorders>
            <w:shd w:val="clear" w:color="auto" w:fill="E6E6E6"/>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98"/>
              <w:rPr>
                <w:rFonts w:ascii="Calibri"/>
                <w:b/>
                <w:sz w:val="20"/>
              </w:rPr>
            </w:pPr>
            <w:r>
              <w:rPr>
                <w:rFonts w:ascii="Calibri"/>
                <w:b/>
                <w:sz w:val="20"/>
              </w:rPr>
              <w:t>N/A</w:t>
            </w:r>
          </w:p>
        </w:tc>
        <w:tc>
          <w:tcPr>
            <w:tcW w:w="1080" w:type="dxa"/>
            <w:gridSpan w:val="2"/>
            <w:tcBorders>
              <w:left w:val="single" w:sz="6" w:space="0" w:color="000000"/>
              <w:bottom w:val="single" w:sz="6" w:space="0" w:color="000000"/>
              <w:right w:val="single" w:sz="6" w:space="0" w:color="000000"/>
            </w:tcBorders>
            <w:shd w:val="clear" w:color="auto" w:fill="E6E6E6"/>
          </w:tcPr>
          <w:p>
            <w:pPr>
              <w:pStyle w:val="TableParagraph"/>
              <w:spacing w:before="2"/>
              <w:rPr>
                <w:rFonts w:ascii="Times New Roman"/>
                <w:sz w:val="22"/>
              </w:rPr>
            </w:pPr>
          </w:p>
          <w:p>
            <w:pPr>
              <w:pStyle w:val="TableParagraph"/>
              <w:spacing w:before="1"/>
              <w:ind w:left="156"/>
              <w:rPr>
                <w:rFonts w:ascii="Calibri"/>
                <w:b/>
                <w:sz w:val="22"/>
              </w:rPr>
            </w:pPr>
            <w:r>
              <w:rPr>
                <w:rFonts w:ascii="Calibri"/>
                <w:b/>
                <w:sz w:val="22"/>
                <w:u w:val="single"/>
              </w:rPr>
              <w:t>PHASE 1</w:t>
            </w:r>
          </w:p>
          <w:p>
            <w:pPr>
              <w:pStyle w:val="TableParagraph"/>
              <w:spacing w:before="2"/>
              <w:ind w:left="108" w:right="81" w:firstLine="141"/>
              <w:rPr>
                <w:rFonts w:ascii="Calibri"/>
                <w:b/>
                <w:sz w:val="20"/>
              </w:rPr>
            </w:pPr>
            <w:r>
              <w:rPr>
                <w:rFonts w:ascii="Calibri"/>
                <w:b/>
                <w:sz w:val="20"/>
              </w:rPr>
              <w:t>Policy/ Procedure</w:t>
            </w:r>
          </w:p>
        </w:tc>
        <w:tc>
          <w:tcPr>
            <w:tcW w:w="1080" w:type="dxa"/>
            <w:gridSpan w:val="2"/>
            <w:tcBorders>
              <w:left w:val="single" w:sz="6" w:space="0" w:color="000000"/>
              <w:bottom w:val="single" w:sz="6" w:space="0" w:color="000000"/>
              <w:right w:val="single" w:sz="6" w:space="0" w:color="000000"/>
            </w:tcBorders>
            <w:shd w:val="clear" w:color="auto" w:fill="E6E6E6"/>
          </w:tcPr>
          <w:p>
            <w:pPr>
              <w:pStyle w:val="TableParagraph"/>
              <w:spacing w:before="3"/>
              <w:rPr>
                <w:rFonts w:ascii="Times New Roman"/>
                <w:sz w:val="23"/>
              </w:rPr>
            </w:pPr>
          </w:p>
          <w:p>
            <w:pPr>
              <w:pStyle w:val="TableParagraph"/>
              <w:ind w:left="156"/>
              <w:rPr>
                <w:rFonts w:ascii="Calibri"/>
                <w:b/>
                <w:sz w:val="22"/>
              </w:rPr>
            </w:pPr>
            <w:r>
              <w:rPr>
                <w:rFonts w:ascii="Calibri"/>
                <w:b/>
                <w:sz w:val="22"/>
                <w:u w:val="single"/>
              </w:rPr>
              <w:t>PHASE 2</w:t>
            </w:r>
          </w:p>
          <w:p>
            <w:pPr>
              <w:pStyle w:val="TableParagraph"/>
              <w:spacing w:before="3"/>
              <w:ind w:left="206" w:hanging="108"/>
              <w:rPr>
                <w:rFonts w:ascii="Calibri"/>
                <w:b/>
                <w:sz w:val="20"/>
              </w:rPr>
            </w:pPr>
            <w:r>
              <w:rPr>
                <w:rFonts w:ascii="Calibri"/>
                <w:b/>
                <w:w w:val="95"/>
                <w:sz w:val="20"/>
              </w:rPr>
              <w:t>Consistent </w:t>
            </w:r>
            <w:r>
              <w:rPr>
                <w:rFonts w:ascii="Calibri"/>
                <w:b/>
                <w:sz w:val="20"/>
              </w:rPr>
              <w:t>Practice</w:t>
            </w:r>
          </w:p>
        </w:tc>
        <w:tc>
          <w:tcPr>
            <w:tcW w:w="1440" w:type="dxa"/>
            <w:vMerge w:val="restart"/>
            <w:tcBorders>
              <w:left w:val="single" w:sz="6" w:space="0" w:color="000000"/>
              <w:bottom w:val="single" w:sz="6" w:space="0" w:color="000000"/>
              <w:right w:val="single" w:sz="6" w:space="0" w:color="000000"/>
            </w:tcBorders>
            <w:shd w:val="clear" w:color="auto" w:fill="E6E6E6"/>
          </w:tcPr>
          <w:p>
            <w:pPr>
              <w:pStyle w:val="TableParagraph"/>
              <w:spacing w:before="1"/>
              <w:rPr>
                <w:rFonts w:ascii="Times New Roman"/>
                <w:sz w:val="24"/>
              </w:rPr>
            </w:pPr>
          </w:p>
          <w:p>
            <w:pPr>
              <w:pStyle w:val="TableParagraph"/>
              <w:ind w:left="110" w:right="102"/>
              <w:jc w:val="center"/>
              <w:rPr>
                <w:rFonts w:ascii="Calibri"/>
                <w:b/>
                <w:sz w:val="20"/>
              </w:rPr>
            </w:pPr>
            <w:r>
              <w:rPr>
                <w:rFonts w:ascii="Calibri"/>
                <w:b/>
                <w:sz w:val="20"/>
              </w:rPr>
              <w:t>Reviewed Agency Policy/Manual Reference</w:t>
            </w:r>
          </w:p>
        </w:tc>
        <w:tc>
          <w:tcPr>
            <w:tcW w:w="1352" w:type="dxa"/>
            <w:vMerge w:val="restart"/>
            <w:tcBorders>
              <w:left w:val="single" w:sz="6" w:space="0" w:color="000000"/>
              <w:bottom w:val="single" w:sz="6" w:space="0" w:color="000000"/>
              <w:right w:val="single" w:sz="6" w:space="0" w:color="000000"/>
            </w:tcBorders>
            <w:shd w:val="clear" w:color="auto" w:fill="E6E6E6"/>
          </w:tcPr>
          <w:p>
            <w:pPr>
              <w:pStyle w:val="TableParagraph"/>
              <w:rPr>
                <w:rFonts w:ascii="Times New Roman"/>
                <w:sz w:val="20"/>
              </w:rPr>
            </w:pPr>
          </w:p>
          <w:p>
            <w:pPr>
              <w:pStyle w:val="TableParagraph"/>
              <w:spacing w:before="169"/>
              <w:ind w:left="427" w:right="420"/>
              <w:jc w:val="center"/>
              <w:rPr>
                <w:rFonts w:ascii="Calibri"/>
                <w:b/>
                <w:sz w:val="20"/>
              </w:rPr>
            </w:pPr>
            <w:r>
              <w:rPr>
                <w:rFonts w:ascii="Calibri"/>
                <w:b/>
                <w:sz w:val="20"/>
              </w:rPr>
              <w:t>QSDF</w:t>
            </w:r>
          </w:p>
          <w:p>
            <w:pPr>
              <w:pStyle w:val="TableParagraph"/>
              <w:spacing w:before="1"/>
              <w:ind w:left="252" w:right="241" w:hanging="7"/>
              <w:jc w:val="center"/>
              <w:rPr>
                <w:rFonts w:ascii="Calibri"/>
                <w:b/>
                <w:sz w:val="20"/>
              </w:rPr>
            </w:pPr>
            <w:r>
              <w:rPr>
                <w:rFonts w:ascii="Calibri"/>
                <w:b/>
                <w:sz w:val="20"/>
              </w:rPr>
              <w:t>Guideline </w:t>
            </w:r>
            <w:r>
              <w:rPr>
                <w:rFonts w:ascii="Calibri"/>
                <w:b/>
                <w:w w:val="95"/>
                <w:sz w:val="20"/>
              </w:rPr>
              <w:t>Reference</w:t>
            </w:r>
          </w:p>
        </w:tc>
        <w:tc>
          <w:tcPr>
            <w:tcW w:w="2386" w:type="dxa"/>
            <w:vMerge w:val="restart"/>
            <w:tcBorders>
              <w:left w:val="single" w:sz="6" w:space="0" w:color="000000"/>
              <w:bottom w:val="single" w:sz="6" w:space="0" w:color="000000"/>
            </w:tcBorders>
            <w:shd w:val="clear" w:color="auto" w:fill="E6E6E6"/>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739"/>
              <w:rPr>
                <w:rFonts w:ascii="Calibri"/>
                <w:b/>
                <w:sz w:val="20"/>
              </w:rPr>
            </w:pPr>
            <w:r>
              <w:rPr>
                <w:rFonts w:ascii="Calibri"/>
                <w:b/>
                <w:sz w:val="20"/>
              </w:rPr>
              <w:t>Comments</w:t>
            </w:r>
          </w:p>
        </w:tc>
      </w:tr>
      <w:tr>
        <w:trPr>
          <w:trHeight w:val="244" w:hRule="atLeast"/>
        </w:trPr>
        <w:tc>
          <w:tcPr>
            <w:tcW w:w="6075" w:type="dxa"/>
            <w:vMerge/>
            <w:tcBorders>
              <w:top w:val="nil"/>
              <w:bottom w:val="single" w:sz="6" w:space="0" w:color="000000"/>
              <w:right w:val="single" w:sz="6" w:space="0" w:color="000000"/>
            </w:tcBorders>
            <w:shd w:val="clear" w:color="auto" w:fill="E6E6E6"/>
          </w:tcPr>
          <w:p>
            <w:pPr>
              <w:rPr>
                <w:sz w:val="2"/>
                <w:szCs w:val="2"/>
              </w:rPr>
            </w:pPr>
          </w:p>
        </w:tc>
        <w:tc>
          <w:tcPr>
            <w:tcW w:w="540" w:type="dxa"/>
            <w:vMerge/>
            <w:tcBorders>
              <w:top w:val="nil"/>
              <w:left w:val="single" w:sz="6" w:space="0" w:color="000000"/>
              <w:bottom w:val="single" w:sz="6" w:space="0" w:color="000000"/>
              <w:right w:val="single" w:sz="6" w:space="0" w:color="000000"/>
            </w:tcBorders>
            <w:shd w:val="clear" w:color="auto" w:fill="E6E6E6"/>
          </w:tcPr>
          <w:p>
            <w:pPr>
              <w:rPr>
                <w:sz w:val="2"/>
                <w:szCs w:val="2"/>
              </w:rPr>
            </w:pP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24"/>
              <w:rPr>
                <w:rFonts w:ascii="Calibri"/>
                <w:b/>
                <w:sz w:val="20"/>
              </w:rPr>
            </w:pPr>
            <w:r>
              <w:rPr>
                <w:rFonts w:ascii="Calibri"/>
                <w:b/>
                <w:sz w:val="20"/>
              </w:rPr>
              <w:t>Yes</w:t>
            </w: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46"/>
              <w:rPr>
                <w:rFonts w:ascii="Calibri"/>
                <w:b/>
                <w:sz w:val="20"/>
              </w:rPr>
            </w:pPr>
            <w:r>
              <w:rPr>
                <w:rFonts w:ascii="Calibri"/>
                <w:b/>
                <w:sz w:val="20"/>
              </w:rPr>
              <w:t>No</w:t>
            </w: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25"/>
              <w:rPr>
                <w:rFonts w:ascii="Calibri"/>
                <w:b/>
                <w:sz w:val="20"/>
              </w:rPr>
            </w:pPr>
            <w:r>
              <w:rPr>
                <w:rFonts w:ascii="Calibri"/>
                <w:b/>
                <w:sz w:val="20"/>
              </w:rPr>
              <w:t>Yes</w:t>
            </w: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46"/>
              <w:rPr>
                <w:rFonts w:ascii="Calibri"/>
                <w:b/>
                <w:sz w:val="20"/>
              </w:rPr>
            </w:pPr>
            <w:r>
              <w:rPr>
                <w:rFonts w:ascii="Calibri"/>
                <w:b/>
                <w:sz w:val="20"/>
              </w:rPr>
              <w:t>No</w:t>
            </w:r>
          </w:p>
        </w:tc>
        <w:tc>
          <w:tcPr>
            <w:tcW w:w="1440" w:type="dxa"/>
            <w:vMerge/>
            <w:tcBorders>
              <w:top w:val="nil"/>
              <w:left w:val="single" w:sz="6" w:space="0" w:color="000000"/>
              <w:bottom w:val="single" w:sz="6" w:space="0" w:color="000000"/>
              <w:right w:val="single" w:sz="6" w:space="0" w:color="000000"/>
            </w:tcBorders>
            <w:shd w:val="clear" w:color="auto" w:fill="E6E6E6"/>
          </w:tcPr>
          <w:p>
            <w:pPr>
              <w:rPr>
                <w:sz w:val="2"/>
                <w:szCs w:val="2"/>
              </w:rPr>
            </w:pPr>
          </w:p>
        </w:tc>
        <w:tc>
          <w:tcPr>
            <w:tcW w:w="1352" w:type="dxa"/>
            <w:vMerge/>
            <w:tcBorders>
              <w:top w:val="nil"/>
              <w:left w:val="single" w:sz="6" w:space="0" w:color="000000"/>
              <w:bottom w:val="single" w:sz="6" w:space="0" w:color="000000"/>
              <w:right w:val="single" w:sz="6" w:space="0" w:color="000000"/>
            </w:tcBorders>
            <w:shd w:val="clear" w:color="auto" w:fill="E6E6E6"/>
          </w:tcPr>
          <w:p>
            <w:pPr>
              <w:rPr>
                <w:sz w:val="2"/>
                <w:szCs w:val="2"/>
              </w:rPr>
            </w:pPr>
          </w:p>
        </w:tc>
        <w:tc>
          <w:tcPr>
            <w:tcW w:w="2386" w:type="dxa"/>
            <w:vMerge/>
            <w:tcBorders>
              <w:top w:val="nil"/>
              <w:left w:val="single" w:sz="6" w:space="0" w:color="000000"/>
              <w:bottom w:val="single" w:sz="6" w:space="0" w:color="000000"/>
            </w:tcBorders>
            <w:shd w:val="clear" w:color="auto" w:fill="E6E6E6"/>
          </w:tcPr>
          <w:p>
            <w:pPr>
              <w:rPr>
                <w:sz w:val="2"/>
                <w:szCs w:val="2"/>
              </w:rPr>
            </w:pPr>
          </w:p>
        </w:tc>
      </w:tr>
      <w:tr>
        <w:trPr>
          <w:trHeight w:val="688" w:hRule="atLeast"/>
        </w:trPr>
        <w:tc>
          <w:tcPr>
            <w:tcW w:w="6075" w:type="dxa"/>
            <w:tcBorders>
              <w:top w:val="single" w:sz="6" w:space="0" w:color="000000"/>
              <w:bottom w:val="single" w:sz="6" w:space="0" w:color="000000"/>
              <w:right w:val="single" w:sz="6" w:space="0" w:color="000000"/>
            </w:tcBorders>
          </w:tcPr>
          <w:p>
            <w:pPr>
              <w:pStyle w:val="TableParagraph"/>
              <w:ind w:left="674" w:right="131" w:hanging="360"/>
              <w:rPr>
                <w:sz w:val="20"/>
              </w:rPr>
            </w:pPr>
            <w:r>
              <w:rPr>
                <w:b/>
                <w:sz w:val="20"/>
              </w:rPr>
              <w:t>8. </w:t>
            </w:r>
            <w:r>
              <w:rPr>
                <w:sz w:val="20"/>
              </w:rPr>
              <w:t>If the organization uses external forensic support, does it evaluate that entity’s ability to conduct the work consistent</w:t>
            </w:r>
          </w:p>
          <w:p>
            <w:pPr>
              <w:pStyle w:val="TableParagraph"/>
              <w:spacing w:line="210" w:lineRule="exact"/>
              <w:ind w:left="674"/>
              <w:rPr>
                <w:sz w:val="20"/>
              </w:rPr>
            </w:pPr>
            <w:r>
              <w:rPr>
                <w:sz w:val="20"/>
              </w:rPr>
              <w:t>with the QSDF?*</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61"/>
              <w:ind w:left="5" w:right="280"/>
              <w:rPr>
                <w:sz w:val="16"/>
              </w:rPr>
            </w:pPr>
            <w:r>
              <w:rPr>
                <w:sz w:val="16"/>
              </w:rPr>
              <w:t>QSDF, Mgmd Stds, Para A.5</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582" w:hRule="atLeast"/>
        </w:trPr>
        <w:tc>
          <w:tcPr>
            <w:tcW w:w="6075" w:type="dxa"/>
            <w:tcBorders>
              <w:top w:val="single" w:sz="6" w:space="0" w:color="000000"/>
              <w:bottom w:val="single" w:sz="6" w:space="0" w:color="000000"/>
              <w:right w:val="single" w:sz="6" w:space="0" w:color="000000"/>
            </w:tcBorders>
          </w:tcPr>
          <w:p>
            <w:pPr>
              <w:pStyle w:val="TableParagraph"/>
              <w:spacing w:before="61"/>
              <w:ind w:left="674" w:hanging="360"/>
              <w:rPr>
                <w:sz w:val="20"/>
              </w:rPr>
            </w:pPr>
            <w:r>
              <w:rPr>
                <w:b/>
                <w:sz w:val="20"/>
              </w:rPr>
              <w:t>9. </w:t>
            </w:r>
            <w:r>
              <w:rPr>
                <w:sz w:val="20"/>
              </w:rPr>
              <w:t>Does the organization have a quality management system to govern digital forensic methodologies and work products?</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line="180" w:lineRule="atLeast" w:before="15"/>
              <w:ind w:left="5" w:right="218"/>
              <w:rPr>
                <w:sz w:val="16"/>
              </w:rPr>
            </w:pPr>
            <w:r>
              <w:rPr>
                <w:sz w:val="16"/>
              </w:rPr>
              <w:t>QSDF, Mgmt Stds, Section B and Para B.1</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580" w:hRule="atLeast"/>
        </w:trPr>
        <w:tc>
          <w:tcPr>
            <w:tcW w:w="6075" w:type="dxa"/>
            <w:tcBorders>
              <w:top w:val="single" w:sz="6" w:space="0" w:color="000000"/>
              <w:bottom w:val="single" w:sz="6" w:space="0" w:color="000000"/>
              <w:right w:val="single" w:sz="6" w:space="0" w:color="000000"/>
            </w:tcBorders>
          </w:tcPr>
          <w:p>
            <w:pPr>
              <w:pStyle w:val="TableParagraph"/>
              <w:spacing w:before="59"/>
              <w:ind w:left="674" w:right="131" w:hanging="360"/>
              <w:rPr>
                <w:sz w:val="20"/>
              </w:rPr>
            </w:pPr>
            <w:r>
              <w:rPr>
                <w:b/>
                <w:sz w:val="20"/>
              </w:rPr>
              <w:t>10. </w:t>
            </w:r>
            <w:r>
              <w:rPr>
                <w:sz w:val="20"/>
              </w:rPr>
              <w:t>Are all forensic examinations administratively reviewed for consistency with organizational policy?</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6"/>
              <w:ind w:left="5" w:right="280"/>
              <w:rPr>
                <w:sz w:val="16"/>
              </w:rPr>
            </w:pPr>
            <w:r>
              <w:rPr>
                <w:sz w:val="16"/>
              </w:rPr>
              <w:t>QSDF, Mgmt Stds, Para B.2</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918" w:hRule="atLeast"/>
        </w:trPr>
        <w:tc>
          <w:tcPr>
            <w:tcW w:w="6075" w:type="dxa"/>
            <w:tcBorders>
              <w:top w:val="single" w:sz="6" w:space="0" w:color="000000"/>
              <w:bottom w:val="single" w:sz="6" w:space="0" w:color="000000"/>
              <w:right w:val="single" w:sz="6" w:space="0" w:color="000000"/>
            </w:tcBorders>
          </w:tcPr>
          <w:p>
            <w:pPr>
              <w:pStyle w:val="TableParagraph"/>
              <w:ind w:left="674" w:right="131" w:hanging="360"/>
              <w:rPr>
                <w:sz w:val="20"/>
              </w:rPr>
            </w:pPr>
            <w:r>
              <w:rPr>
                <w:b/>
                <w:sz w:val="20"/>
              </w:rPr>
              <w:t>11. </w:t>
            </w:r>
            <w:r>
              <w:rPr>
                <w:sz w:val="20"/>
              </w:rPr>
              <w:t>Are at least 50%* (100% in 2024) of final digital forensic examination reports technically reviewed by another</w:t>
            </w:r>
          </w:p>
          <w:p>
            <w:pPr>
              <w:pStyle w:val="TableParagraph"/>
              <w:spacing w:line="228" w:lineRule="exact" w:before="5"/>
              <w:ind w:left="674" w:right="131"/>
              <w:rPr>
                <w:sz w:val="20"/>
              </w:rPr>
            </w:pPr>
            <w:r>
              <w:rPr>
                <w:sz w:val="20"/>
              </w:rPr>
              <w:t>qualified examiner (peer reviewed) before the reports are published?</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2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2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2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2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2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p>
            <w:pPr>
              <w:pStyle w:val="TableParagraph"/>
              <w:spacing w:before="1"/>
              <w:ind w:left="5" w:right="280"/>
              <w:rPr>
                <w:sz w:val="16"/>
              </w:rPr>
            </w:pPr>
            <w:r>
              <w:rPr>
                <w:sz w:val="16"/>
              </w:rPr>
              <w:t>QSDF, Mgmt Stds, Para B.3</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689" w:hRule="atLeast"/>
        </w:trPr>
        <w:tc>
          <w:tcPr>
            <w:tcW w:w="6075" w:type="dxa"/>
            <w:tcBorders>
              <w:top w:val="single" w:sz="6" w:space="0" w:color="000000"/>
              <w:bottom w:val="single" w:sz="6" w:space="0" w:color="000000"/>
              <w:right w:val="single" w:sz="6" w:space="0" w:color="000000"/>
            </w:tcBorders>
          </w:tcPr>
          <w:p>
            <w:pPr>
              <w:pStyle w:val="TableParagraph"/>
              <w:ind w:left="674" w:right="398" w:hanging="360"/>
              <w:rPr>
                <w:sz w:val="20"/>
              </w:rPr>
            </w:pPr>
            <w:r>
              <w:rPr>
                <w:b/>
                <w:sz w:val="20"/>
              </w:rPr>
              <w:t>12. </w:t>
            </w:r>
            <w:r>
              <w:rPr>
                <w:sz w:val="20"/>
              </w:rPr>
              <w:t>To the extent possible, does the organization ensure the tools they use to acquire ESI are validated to operate as</w:t>
            </w:r>
          </w:p>
          <w:p>
            <w:pPr>
              <w:pStyle w:val="TableParagraph"/>
              <w:spacing w:line="209" w:lineRule="exact"/>
              <w:ind w:left="674"/>
              <w:rPr>
                <w:sz w:val="20"/>
              </w:rPr>
            </w:pPr>
            <w:r>
              <w:rPr>
                <w:sz w:val="20"/>
              </w:rPr>
              <w:t>intended and accurately acquire data?</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59"/>
              <w:ind w:left="5" w:right="280"/>
              <w:rPr>
                <w:sz w:val="16"/>
              </w:rPr>
            </w:pPr>
            <w:r>
              <w:rPr>
                <w:sz w:val="16"/>
              </w:rPr>
              <w:t>QSDF, Mgmt Stds, Para B.4</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690" w:hRule="atLeast"/>
        </w:trPr>
        <w:tc>
          <w:tcPr>
            <w:tcW w:w="6075" w:type="dxa"/>
            <w:tcBorders>
              <w:top w:val="single" w:sz="6" w:space="0" w:color="000000"/>
              <w:bottom w:val="single" w:sz="6" w:space="0" w:color="000000"/>
              <w:right w:val="single" w:sz="6" w:space="0" w:color="000000"/>
            </w:tcBorders>
          </w:tcPr>
          <w:p>
            <w:pPr>
              <w:pStyle w:val="TableParagraph"/>
              <w:spacing w:line="230" w:lineRule="exact" w:before="3"/>
              <w:ind w:left="674" w:right="9" w:hanging="360"/>
              <w:rPr>
                <w:sz w:val="20"/>
              </w:rPr>
            </w:pPr>
            <w:r>
              <w:rPr>
                <w:b/>
                <w:sz w:val="20"/>
              </w:rPr>
              <w:t>13. </w:t>
            </w:r>
            <w:r>
              <w:rPr>
                <w:sz w:val="20"/>
              </w:rPr>
              <w:t>Does the organization have a policy concerning the verification of significant findings when validated or generally accepted examination tools are not used?*</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61"/>
              <w:ind w:left="5" w:right="280"/>
              <w:rPr>
                <w:sz w:val="16"/>
              </w:rPr>
            </w:pPr>
            <w:r>
              <w:rPr>
                <w:sz w:val="16"/>
              </w:rPr>
              <w:t>QSDF, Mgmt Stds, Para B.5</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688" w:hRule="atLeast"/>
        </w:trPr>
        <w:tc>
          <w:tcPr>
            <w:tcW w:w="6075" w:type="dxa"/>
            <w:tcBorders>
              <w:top w:val="single" w:sz="6" w:space="0" w:color="000000"/>
              <w:bottom w:val="single" w:sz="6" w:space="0" w:color="000000"/>
              <w:right w:val="single" w:sz="6" w:space="0" w:color="000000"/>
            </w:tcBorders>
          </w:tcPr>
          <w:p>
            <w:pPr>
              <w:pStyle w:val="TableParagraph"/>
              <w:spacing w:line="230" w:lineRule="exact"/>
              <w:ind w:left="674" w:right="131" w:hanging="360"/>
              <w:rPr>
                <w:sz w:val="20"/>
              </w:rPr>
            </w:pPr>
            <w:r>
              <w:rPr>
                <w:b/>
                <w:sz w:val="20"/>
              </w:rPr>
              <w:t>14. </w:t>
            </w:r>
            <w:r>
              <w:rPr>
                <w:sz w:val="20"/>
              </w:rPr>
              <w:t>Does the organization centrally control policies and other documents used for digital forensics to prevent the unintended use of obsolete versions?*</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59"/>
              <w:ind w:left="5" w:right="280"/>
              <w:rPr>
                <w:sz w:val="16"/>
              </w:rPr>
            </w:pPr>
            <w:r>
              <w:rPr>
                <w:sz w:val="16"/>
              </w:rPr>
              <w:t>QSDF, Mgmt Stds, Para B.6</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686" w:hRule="atLeast"/>
        </w:trPr>
        <w:tc>
          <w:tcPr>
            <w:tcW w:w="6075" w:type="dxa"/>
            <w:tcBorders>
              <w:top w:val="single" w:sz="6" w:space="0" w:color="000000"/>
              <w:bottom w:val="single" w:sz="6" w:space="0" w:color="000000"/>
              <w:right w:val="single" w:sz="6" w:space="0" w:color="000000"/>
            </w:tcBorders>
          </w:tcPr>
          <w:p>
            <w:pPr>
              <w:pStyle w:val="TableParagraph"/>
              <w:spacing w:line="227" w:lineRule="exact"/>
              <w:ind w:left="314"/>
              <w:rPr>
                <w:sz w:val="20"/>
              </w:rPr>
            </w:pPr>
            <w:r>
              <w:rPr>
                <w:b/>
                <w:sz w:val="20"/>
              </w:rPr>
              <w:t>15. </w:t>
            </w:r>
            <w:r>
              <w:rPr>
                <w:sz w:val="20"/>
              </w:rPr>
              <w:t>Does the organization monitor all expert testimony given by</w:t>
            </w:r>
          </w:p>
          <w:p>
            <w:pPr>
              <w:pStyle w:val="TableParagraph"/>
              <w:spacing w:line="228" w:lineRule="exact" w:before="5"/>
              <w:ind w:left="674" w:right="131"/>
              <w:rPr>
                <w:sz w:val="20"/>
              </w:rPr>
            </w:pPr>
            <w:r>
              <w:rPr>
                <w:sz w:val="20"/>
              </w:rPr>
              <w:t>its employees in criminal proceedings that supports digital forensics work performed by the employees.*</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60"/>
              <w:ind w:left="5" w:right="280"/>
              <w:rPr>
                <w:sz w:val="16"/>
              </w:rPr>
            </w:pPr>
            <w:r>
              <w:rPr>
                <w:sz w:val="16"/>
              </w:rPr>
              <w:t>QSDF, Mgmt Stds, Para B.7</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689" w:hRule="atLeast"/>
        </w:trPr>
        <w:tc>
          <w:tcPr>
            <w:tcW w:w="6075" w:type="dxa"/>
            <w:tcBorders>
              <w:top w:val="single" w:sz="6" w:space="0" w:color="000000"/>
              <w:bottom w:val="single" w:sz="6" w:space="0" w:color="000000"/>
              <w:right w:val="single" w:sz="6" w:space="0" w:color="000000"/>
            </w:tcBorders>
          </w:tcPr>
          <w:p>
            <w:pPr>
              <w:pStyle w:val="TableParagraph"/>
              <w:spacing w:line="227" w:lineRule="exact"/>
              <w:ind w:left="314"/>
              <w:rPr>
                <w:sz w:val="20"/>
              </w:rPr>
            </w:pPr>
            <w:r>
              <w:rPr>
                <w:b/>
                <w:sz w:val="20"/>
              </w:rPr>
              <w:t>16. </w:t>
            </w:r>
            <w:r>
              <w:rPr>
                <w:sz w:val="20"/>
              </w:rPr>
              <w:t>Does the organization document deficiencies and failures</w:t>
            </w:r>
          </w:p>
          <w:p>
            <w:pPr>
              <w:pStyle w:val="TableParagraph"/>
              <w:spacing w:line="230" w:lineRule="atLeast" w:before="1"/>
              <w:ind w:left="674" w:right="210"/>
              <w:rPr>
                <w:sz w:val="20"/>
              </w:rPr>
            </w:pPr>
            <w:r>
              <w:rPr>
                <w:sz w:val="20"/>
              </w:rPr>
              <w:t>potentially impacting the quality of digital forensic products and the corrective actions taken?*</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19"/>
              </w:rPr>
            </w:pPr>
          </w:p>
          <w:p>
            <w:pPr>
              <w:pStyle w:val="TableParagraph"/>
              <w:ind w:left="145"/>
              <w:rPr>
                <w:rFonts w:ascii="Times New Roman"/>
                <w:sz w:val="20"/>
              </w:rPr>
            </w:pPr>
            <w:r>
              <w:rPr>
                <w:rFonts w:ascii="Times New Roman"/>
                <w:sz w:val="20"/>
              </w:rPr>
              <w:pict>
                <v:group style="width:11.9pt;height:11.95pt;mso-position-horizontal-relative:char;mso-position-vertical-relative:line" coordorigin="0,0" coordsize="238,239">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19"/>
              </w:rPr>
            </w:pPr>
          </w:p>
          <w:p>
            <w:pPr>
              <w:pStyle w:val="TableParagraph"/>
              <w:ind w:left="145"/>
              <w:rPr>
                <w:rFonts w:ascii="Times New Roman"/>
                <w:sz w:val="20"/>
              </w:rPr>
            </w:pPr>
            <w:r>
              <w:rPr>
                <w:rFonts w:ascii="Times New Roman"/>
                <w:sz w:val="20"/>
              </w:rPr>
              <w:pict>
                <v:group style="width:11.9pt;height:11.95pt;mso-position-horizontal-relative:char;mso-position-vertical-relative:line" coordorigin="0,0" coordsize="238,239">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19"/>
              </w:rPr>
            </w:pPr>
          </w:p>
          <w:p>
            <w:pPr>
              <w:pStyle w:val="TableParagraph"/>
              <w:ind w:left="145"/>
              <w:rPr>
                <w:rFonts w:ascii="Times New Roman"/>
                <w:sz w:val="20"/>
              </w:rPr>
            </w:pPr>
            <w:r>
              <w:rPr>
                <w:rFonts w:ascii="Times New Roman"/>
                <w:sz w:val="20"/>
              </w:rPr>
              <w:pict>
                <v:group style="width:11.9pt;height:11.95pt;mso-position-horizontal-relative:char;mso-position-vertical-relative:line" coordorigin="0,0" coordsize="238,239">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19"/>
              </w:rPr>
            </w:pPr>
          </w:p>
          <w:p>
            <w:pPr>
              <w:pStyle w:val="TableParagraph"/>
              <w:ind w:left="146"/>
              <w:rPr>
                <w:rFonts w:ascii="Times New Roman"/>
                <w:sz w:val="20"/>
              </w:rPr>
            </w:pPr>
            <w:r>
              <w:rPr>
                <w:rFonts w:ascii="Times New Roman"/>
                <w:sz w:val="20"/>
              </w:rPr>
              <w:pict>
                <v:group style="width:11.9pt;height:11.95pt;mso-position-horizontal-relative:char;mso-position-vertical-relative:line" coordorigin="0,0" coordsize="238,239">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19"/>
              </w:rPr>
            </w:pPr>
          </w:p>
          <w:p>
            <w:pPr>
              <w:pStyle w:val="TableParagraph"/>
              <w:ind w:left="146"/>
              <w:rPr>
                <w:rFonts w:ascii="Times New Roman"/>
                <w:sz w:val="20"/>
              </w:rPr>
            </w:pPr>
            <w:r>
              <w:rPr>
                <w:rFonts w:ascii="Times New Roman"/>
                <w:sz w:val="20"/>
              </w:rPr>
              <w:pict>
                <v:group style="width:11.9pt;height:11.95pt;mso-position-horizontal-relative:char;mso-position-vertical-relative:line" coordorigin="0,0" coordsize="238,239">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60"/>
              <w:ind w:left="5" w:right="280"/>
              <w:rPr>
                <w:sz w:val="16"/>
              </w:rPr>
            </w:pPr>
            <w:r>
              <w:rPr>
                <w:sz w:val="16"/>
              </w:rPr>
              <w:t>QSDF, Mgmt Stds, Para B.8</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690" w:hRule="atLeast"/>
        </w:trPr>
        <w:tc>
          <w:tcPr>
            <w:tcW w:w="6075" w:type="dxa"/>
            <w:tcBorders>
              <w:top w:val="single" w:sz="6" w:space="0" w:color="000000"/>
              <w:right w:val="single" w:sz="6" w:space="0" w:color="000000"/>
            </w:tcBorders>
          </w:tcPr>
          <w:p>
            <w:pPr>
              <w:pStyle w:val="TableParagraph"/>
              <w:spacing w:line="230" w:lineRule="exact" w:before="3"/>
              <w:ind w:left="674" w:hanging="360"/>
              <w:rPr>
                <w:sz w:val="20"/>
              </w:rPr>
            </w:pPr>
            <w:r>
              <w:rPr>
                <w:b/>
                <w:sz w:val="20"/>
              </w:rPr>
              <w:t>17. </w:t>
            </w:r>
            <w:r>
              <w:rPr>
                <w:sz w:val="20"/>
              </w:rPr>
              <w:t>Does the organization review its quality management system annually* to ensure the system is meeting the quality needs of the organization?</w:t>
            </w:r>
          </w:p>
        </w:tc>
        <w:tc>
          <w:tcPr>
            <w:tcW w:w="540" w:type="dxa"/>
            <w:tcBorders>
              <w:top w:val="single" w:sz="6" w:space="0" w:color="000000"/>
              <w:left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6"/>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6"/>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352" w:type="dxa"/>
            <w:tcBorders>
              <w:top w:val="single" w:sz="6" w:space="0" w:color="000000"/>
              <w:left w:val="single" w:sz="6" w:space="0" w:color="000000"/>
              <w:right w:val="single" w:sz="6" w:space="0" w:color="000000"/>
            </w:tcBorders>
          </w:tcPr>
          <w:p>
            <w:pPr>
              <w:pStyle w:val="TableParagraph"/>
              <w:spacing w:before="161"/>
              <w:ind w:left="5" w:right="280"/>
              <w:rPr>
                <w:sz w:val="16"/>
              </w:rPr>
            </w:pPr>
            <w:r>
              <w:rPr>
                <w:sz w:val="16"/>
              </w:rPr>
              <w:t>QSDF, Mgmt Stds, Para B.9</w:t>
            </w:r>
          </w:p>
        </w:tc>
        <w:tc>
          <w:tcPr>
            <w:tcW w:w="2386" w:type="dxa"/>
            <w:tcBorders>
              <w:top w:val="single" w:sz="6" w:space="0" w:color="000000"/>
              <w:left w:val="single" w:sz="6" w:space="0" w:color="000000"/>
            </w:tcBorders>
          </w:tcPr>
          <w:p>
            <w:pPr>
              <w:pStyle w:val="TableParagraph"/>
              <w:rPr>
                <w:rFonts w:ascii="Times New Roman"/>
                <w:sz w:val="18"/>
              </w:rPr>
            </w:pPr>
          </w:p>
        </w:tc>
      </w:tr>
    </w:tbl>
    <w:p>
      <w:pPr>
        <w:spacing w:after="0"/>
        <w:rPr>
          <w:rFonts w:ascii="Times New Roman"/>
          <w:sz w:val="18"/>
        </w:rPr>
        <w:sectPr>
          <w:pgSz w:w="15840" w:h="12240" w:orient="landscape"/>
          <w:pgMar w:header="729" w:footer="785" w:top="1440" w:bottom="980" w:left="840" w:right="820"/>
        </w:sectPr>
      </w:pPr>
    </w:p>
    <w:p>
      <w:pPr>
        <w:pStyle w:val="BodyText"/>
        <w:rPr>
          <w:sz w:val="1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5"/>
        <w:gridCol w:w="540"/>
        <w:gridCol w:w="540"/>
        <w:gridCol w:w="540"/>
        <w:gridCol w:w="540"/>
        <w:gridCol w:w="540"/>
        <w:gridCol w:w="1440"/>
        <w:gridCol w:w="1352"/>
        <w:gridCol w:w="2386"/>
      </w:tblGrid>
      <w:tr>
        <w:trPr>
          <w:trHeight w:val="1271" w:hRule="atLeast"/>
        </w:trPr>
        <w:tc>
          <w:tcPr>
            <w:tcW w:w="6075" w:type="dxa"/>
            <w:vMerge w:val="restart"/>
            <w:tcBorders>
              <w:bottom w:val="single" w:sz="6" w:space="0" w:color="000000"/>
              <w:right w:val="single" w:sz="6" w:space="0" w:color="000000"/>
            </w:tcBorders>
            <w:shd w:val="clear" w:color="auto" w:fill="E6E6E6"/>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2502" w:right="2495"/>
              <w:jc w:val="center"/>
              <w:rPr>
                <w:rFonts w:ascii="Calibri"/>
                <w:b/>
                <w:sz w:val="20"/>
              </w:rPr>
            </w:pPr>
            <w:r>
              <w:rPr>
                <w:rFonts w:ascii="Calibri"/>
                <w:b/>
                <w:sz w:val="20"/>
              </w:rPr>
              <w:t>Review Step</w:t>
            </w:r>
          </w:p>
        </w:tc>
        <w:tc>
          <w:tcPr>
            <w:tcW w:w="540" w:type="dxa"/>
            <w:vMerge w:val="restart"/>
            <w:tcBorders>
              <w:left w:val="single" w:sz="6" w:space="0" w:color="000000"/>
              <w:bottom w:val="single" w:sz="6" w:space="0" w:color="000000"/>
              <w:right w:val="single" w:sz="6" w:space="0" w:color="000000"/>
            </w:tcBorders>
            <w:shd w:val="clear" w:color="auto" w:fill="E6E6E6"/>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98"/>
              <w:rPr>
                <w:rFonts w:ascii="Calibri"/>
                <w:b/>
                <w:sz w:val="20"/>
              </w:rPr>
            </w:pPr>
            <w:r>
              <w:rPr>
                <w:rFonts w:ascii="Calibri"/>
                <w:b/>
                <w:sz w:val="20"/>
              </w:rPr>
              <w:t>N/A</w:t>
            </w:r>
          </w:p>
        </w:tc>
        <w:tc>
          <w:tcPr>
            <w:tcW w:w="1080" w:type="dxa"/>
            <w:gridSpan w:val="2"/>
            <w:tcBorders>
              <w:left w:val="single" w:sz="6" w:space="0" w:color="000000"/>
              <w:bottom w:val="single" w:sz="6" w:space="0" w:color="000000"/>
              <w:right w:val="single" w:sz="6" w:space="0" w:color="000000"/>
            </w:tcBorders>
            <w:shd w:val="clear" w:color="auto" w:fill="E6E6E6"/>
          </w:tcPr>
          <w:p>
            <w:pPr>
              <w:pStyle w:val="TableParagraph"/>
              <w:spacing w:before="2"/>
              <w:rPr>
                <w:rFonts w:ascii="Times New Roman"/>
                <w:sz w:val="22"/>
              </w:rPr>
            </w:pPr>
          </w:p>
          <w:p>
            <w:pPr>
              <w:pStyle w:val="TableParagraph"/>
              <w:spacing w:before="1"/>
              <w:ind w:left="156"/>
              <w:rPr>
                <w:rFonts w:ascii="Calibri"/>
                <w:b/>
                <w:sz w:val="22"/>
              </w:rPr>
            </w:pPr>
            <w:r>
              <w:rPr>
                <w:rFonts w:ascii="Calibri"/>
                <w:b/>
                <w:sz w:val="22"/>
                <w:u w:val="single"/>
              </w:rPr>
              <w:t>PHASE 1</w:t>
            </w:r>
          </w:p>
          <w:p>
            <w:pPr>
              <w:pStyle w:val="TableParagraph"/>
              <w:spacing w:before="2"/>
              <w:ind w:left="108" w:right="81" w:firstLine="141"/>
              <w:rPr>
                <w:rFonts w:ascii="Calibri"/>
                <w:b/>
                <w:sz w:val="20"/>
              </w:rPr>
            </w:pPr>
            <w:r>
              <w:rPr>
                <w:rFonts w:ascii="Calibri"/>
                <w:b/>
                <w:sz w:val="20"/>
              </w:rPr>
              <w:t>Policy/ Procedure</w:t>
            </w:r>
          </w:p>
        </w:tc>
        <w:tc>
          <w:tcPr>
            <w:tcW w:w="1080" w:type="dxa"/>
            <w:gridSpan w:val="2"/>
            <w:tcBorders>
              <w:left w:val="single" w:sz="6" w:space="0" w:color="000000"/>
              <w:bottom w:val="single" w:sz="6" w:space="0" w:color="000000"/>
              <w:right w:val="single" w:sz="6" w:space="0" w:color="000000"/>
            </w:tcBorders>
            <w:shd w:val="clear" w:color="auto" w:fill="E6E6E6"/>
          </w:tcPr>
          <w:p>
            <w:pPr>
              <w:pStyle w:val="TableParagraph"/>
              <w:spacing w:before="3"/>
              <w:rPr>
                <w:rFonts w:ascii="Times New Roman"/>
                <w:sz w:val="23"/>
              </w:rPr>
            </w:pPr>
          </w:p>
          <w:p>
            <w:pPr>
              <w:pStyle w:val="TableParagraph"/>
              <w:ind w:left="156"/>
              <w:rPr>
                <w:rFonts w:ascii="Calibri"/>
                <w:b/>
                <w:sz w:val="22"/>
              </w:rPr>
            </w:pPr>
            <w:r>
              <w:rPr>
                <w:rFonts w:ascii="Calibri"/>
                <w:b/>
                <w:sz w:val="22"/>
                <w:u w:val="single"/>
              </w:rPr>
              <w:t>PHASE 2</w:t>
            </w:r>
          </w:p>
          <w:p>
            <w:pPr>
              <w:pStyle w:val="TableParagraph"/>
              <w:spacing w:before="3"/>
              <w:ind w:left="206" w:hanging="108"/>
              <w:rPr>
                <w:rFonts w:ascii="Calibri"/>
                <w:b/>
                <w:sz w:val="20"/>
              </w:rPr>
            </w:pPr>
            <w:r>
              <w:rPr>
                <w:rFonts w:ascii="Calibri"/>
                <w:b/>
                <w:w w:val="95"/>
                <w:sz w:val="20"/>
              </w:rPr>
              <w:t>Consistent </w:t>
            </w:r>
            <w:r>
              <w:rPr>
                <w:rFonts w:ascii="Calibri"/>
                <w:b/>
                <w:sz w:val="20"/>
              </w:rPr>
              <w:t>Practice</w:t>
            </w:r>
          </w:p>
        </w:tc>
        <w:tc>
          <w:tcPr>
            <w:tcW w:w="1440" w:type="dxa"/>
            <w:vMerge w:val="restart"/>
            <w:tcBorders>
              <w:left w:val="single" w:sz="6" w:space="0" w:color="000000"/>
              <w:bottom w:val="single" w:sz="6" w:space="0" w:color="000000"/>
              <w:right w:val="single" w:sz="6" w:space="0" w:color="000000"/>
            </w:tcBorders>
            <w:shd w:val="clear" w:color="auto" w:fill="E6E6E6"/>
          </w:tcPr>
          <w:p>
            <w:pPr>
              <w:pStyle w:val="TableParagraph"/>
              <w:spacing w:before="1"/>
              <w:rPr>
                <w:rFonts w:ascii="Times New Roman"/>
                <w:sz w:val="24"/>
              </w:rPr>
            </w:pPr>
          </w:p>
          <w:p>
            <w:pPr>
              <w:pStyle w:val="TableParagraph"/>
              <w:ind w:left="110" w:right="102"/>
              <w:jc w:val="center"/>
              <w:rPr>
                <w:rFonts w:ascii="Calibri"/>
                <w:b/>
                <w:sz w:val="20"/>
              </w:rPr>
            </w:pPr>
            <w:r>
              <w:rPr>
                <w:rFonts w:ascii="Calibri"/>
                <w:b/>
                <w:sz w:val="20"/>
              </w:rPr>
              <w:t>Reviewed Agency Policy/Manual Reference</w:t>
            </w:r>
          </w:p>
        </w:tc>
        <w:tc>
          <w:tcPr>
            <w:tcW w:w="1352" w:type="dxa"/>
            <w:vMerge w:val="restart"/>
            <w:tcBorders>
              <w:left w:val="single" w:sz="6" w:space="0" w:color="000000"/>
              <w:bottom w:val="single" w:sz="6" w:space="0" w:color="000000"/>
              <w:right w:val="single" w:sz="6" w:space="0" w:color="000000"/>
            </w:tcBorders>
            <w:shd w:val="clear" w:color="auto" w:fill="E6E6E6"/>
          </w:tcPr>
          <w:p>
            <w:pPr>
              <w:pStyle w:val="TableParagraph"/>
              <w:rPr>
                <w:rFonts w:ascii="Times New Roman"/>
                <w:sz w:val="20"/>
              </w:rPr>
            </w:pPr>
          </w:p>
          <w:p>
            <w:pPr>
              <w:pStyle w:val="TableParagraph"/>
              <w:spacing w:before="169"/>
              <w:ind w:left="427" w:right="420"/>
              <w:jc w:val="center"/>
              <w:rPr>
                <w:rFonts w:ascii="Calibri"/>
                <w:b/>
                <w:sz w:val="20"/>
              </w:rPr>
            </w:pPr>
            <w:r>
              <w:rPr>
                <w:rFonts w:ascii="Calibri"/>
                <w:b/>
                <w:sz w:val="20"/>
              </w:rPr>
              <w:t>QSDF</w:t>
            </w:r>
          </w:p>
          <w:p>
            <w:pPr>
              <w:pStyle w:val="TableParagraph"/>
              <w:spacing w:before="1"/>
              <w:ind w:left="252" w:right="241" w:hanging="7"/>
              <w:jc w:val="center"/>
              <w:rPr>
                <w:rFonts w:ascii="Calibri"/>
                <w:b/>
                <w:sz w:val="20"/>
              </w:rPr>
            </w:pPr>
            <w:r>
              <w:rPr>
                <w:rFonts w:ascii="Calibri"/>
                <w:b/>
                <w:sz w:val="20"/>
              </w:rPr>
              <w:t>Guideline </w:t>
            </w:r>
            <w:r>
              <w:rPr>
                <w:rFonts w:ascii="Calibri"/>
                <w:b/>
                <w:w w:val="95"/>
                <w:sz w:val="20"/>
              </w:rPr>
              <w:t>Reference</w:t>
            </w:r>
          </w:p>
        </w:tc>
        <w:tc>
          <w:tcPr>
            <w:tcW w:w="2386" w:type="dxa"/>
            <w:vMerge w:val="restart"/>
            <w:tcBorders>
              <w:left w:val="single" w:sz="6" w:space="0" w:color="000000"/>
              <w:bottom w:val="single" w:sz="6" w:space="0" w:color="000000"/>
            </w:tcBorders>
            <w:shd w:val="clear" w:color="auto" w:fill="E6E6E6"/>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739"/>
              <w:rPr>
                <w:rFonts w:ascii="Calibri"/>
                <w:b/>
                <w:sz w:val="20"/>
              </w:rPr>
            </w:pPr>
            <w:r>
              <w:rPr>
                <w:rFonts w:ascii="Calibri"/>
                <w:b/>
                <w:sz w:val="20"/>
              </w:rPr>
              <w:t>Comments</w:t>
            </w:r>
          </w:p>
        </w:tc>
      </w:tr>
      <w:tr>
        <w:trPr>
          <w:trHeight w:val="244" w:hRule="atLeast"/>
        </w:trPr>
        <w:tc>
          <w:tcPr>
            <w:tcW w:w="6075" w:type="dxa"/>
            <w:vMerge/>
            <w:tcBorders>
              <w:top w:val="nil"/>
              <w:bottom w:val="single" w:sz="6" w:space="0" w:color="000000"/>
              <w:right w:val="single" w:sz="6" w:space="0" w:color="000000"/>
            </w:tcBorders>
            <w:shd w:val="clear" w:color="auto" w:fill="E6E6E6"/>
          </w:tcPr>
          <w:p>
            <w:pPr>
              <w:rPr>
                <w:sz w:val="2"/>
                <w:szCs w:val="2"/>
              </w:rPr>
            </w:pPr>
          </w:p>
        </w:tc>
        <w:tc>
          <w:tcPr>
            <w:tcW w:w="540" w:type="dxa"/>
            <w:vMerge/>
            <w:tcBorders>
              <w:top w:val="nil"/>
              <w:left w:val="single" w:sz="6" w:space="0" w:color="000000"/>
              <w:bottom w:val="single" w:sz="6" w:space="0" w:color="000000"/>
              <w:right w:val="single" w:sz="6" w:space="0" w:color="000000"/>
            </w:tcBorders>
            <w:shd w:val="clear" w:color="auto" w:fill="E6E6E6"/>
          </w:tcPr>
          <w:p>
            <w:pPr>
              <w:rPr>
                <w:sz w:val="2"/>
                <w:szCs w:val="2"/>
              </w:rPr>
            </w:pP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24"/>
              <w:rPr>
                <w:rFonts w:ascii="Calibri"/>
                <w:b/>
                <w:sz w:val="20"/>
              </w:rPr>
            </w:pPr>
            <w:r>
              <w:rPr>
                <w:rFonts w:ascii="Calibri"/>
                <w:b/>
                <w:sz w:val="20"/>
              </w:rPr>
              <w:t>Yes</w:t>
            </w: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46"/>
              <w:rPr>
                <w:rFonts w:ascii="Calibri"/>
                <w:b/>
                <w:sz w:val="20"/>
              </w:rPr>
            </w:pPr>
            <w:r>
              <w:rPr>
                <w:rFonts w:ascii="Calibri"/>
                <w:b/>
                <w:sz w:val="20"/>
              </w:rPr>
              <w:t>No</w:t>
            </w: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25"/>
              <w:rPr>
                <w:rFonts w:ascii="Calibri"/>
                <w:b/>
                <w:sz w:val="20"/>
              </w:rPr>
            </w:pPr>
            <w:r>
              <w:rPr>
                <w:rFonts w:ascii="Calibri"/>
                <w:b/>
                <w:sz w:val="20"/>
              </w:rPr>
              <w:t>Yes</w:t>
            </w:r>
          </w:p>
        </w:tc>
        <w:tc>
          <w:tcPr>
            <w:tcW w:w="540" w:type="dxa"/>
            <w:tcBorders>
              <w:top w:val="single" w:sz="6" w:space="0" w:color="000000"/>
              <w:left w:val="single" w:sz="6" w:space="0" w:color="000000"/>
              <w:bottom w:val="single" w:sz="6" w:space="0" w:color="000000"/>
              <w:right w:val="single" w:sz="6" w:space="0" w:color="000000"/>
            </w:tcBorders>
            <w:shd w:val="clear" w:color="auto" w:fill="E6E6E6"/>
          </w:tcPr>
          <w:p>
            <w:pPr>
              <w:pStyle w:val="TableParagraph"/>
              <w:spacing w:line="223" w:lineRule="exact" w:before="1"/>
              <w:ind w:left="146"/>
              <w:rPr>
                <w:rFonts w:ascii="Calibri"/>
                <w:b/>
                <w:sz w:val="20"/>
              </w:rPr>
            </w:pPr>
            <w:r>
              <w:rPr>
                <w:rFonts w:ascii="Calibri"/>
                <w:b/>
                <w:sz w:val="20"/>
              </w:rPr>
              <w:t>No</w:t>
            </w:r>
          </w:p>
        </w:tc>
        <w:tc>
          <w:tcPr>
            <w:tcW w:w="1440" w:type="dxa"/>
            <w:vMerge/>
            <w:tcBorders>
              <w:top w:val="nil"/>
              <w:left w:val="single" w:sz="6" w:space="0" w:color="000000"/>
              <w:bottom w:val="single" w:sz="6" w:space="0" w:color="000000"/>
              <w:right w:val="single" w:sz="6" w:space="0" w:color="000000"/>
            </w:tcBorders>
            <w:shd w:val="clear" w:color="auto" w:fill="E6E6E6"/>
          </w:tcPr>
          <w:p>
            <w:pPr>
              <w:rPr>
                <w:sz w:val="2"/>
                <w:szCs w:val="2"/>
              </w:rPr>
            </w:pPr>
          </w:p>
        </w:tc>
        <w:tc>
          <w:tcPr>
            <w:tcW w:w="1352" w:type="dxa"/>
            <w:vMerge/>
            <w:tcBorders>
              <w:top w:val="nil"/>
              <w:left w:val="single" w:sz="6" w:space="0" w:color="000000"/>
              <w:bottom w:val="single" w:sz="6" w:space="0" w:color="000000"/>
              <w:right w:val="single" w:sz="6" w:space="0" w:color="000000"/>
            </w:tcBorders>
            <w:shd w:val="clear" w:color="auto" w:fill="E6E6E6"/>
          </w:tcPr>
          <w:p>
            <w:pPr>
              <w:rPr>
                <w:sz w:val="2"/>
                <w:szCs w:val="2"/>
              </w:rPr>
            </w:pPr>
          </w:p>
        </w:tc>
        <w:tc>
          <w:tcPr>
            <w:tcW w:w="2386" w:type="dxa"/>
            <w:vMerge/>
            <w:tcBorders>
              <w:top w:val="nil"/>
              <w:left w:val="single" w:sz="6" w:space="0" w:color="000000"/>
              <w:bottom w:val="single" w:sz="6" w:space="0" w:color="000000"/>
            </w:tcBorders>
            <w:shd w:val="clear" w:color="auto" w:fill="E6E6E6"/>
          </w:tcPr>
          <w:p>
            <w:pPr>
              <w:rPr>
                <w:sz w:val="2"/>
                <w:szCs w:val="2"/>
              </w:rPr>
            </w:pPr>
          </w:p>
        </w:tc>
      </w:tr>
      <w:tr>
        <w:trPr>
          <w:trHeight w:val="688" w:hRule="atLeast"/>
        </w:trPr>
        <w:tc>
          <w:tcPr>
            <w:tcW w:w="13953" w:type="dxa"/>
            <w:gridSpan w:val="9"/>
            <w:tcBorders>
              <w:top w:val="single" w:sz="6" w:space="0" w:color="000000"/>
              <w:bottom w:val="single" w:sz="6" w:space="0" w:color="000000"/>
            </w:tcBorders>
          </w:tcPr>
          <w:p>
            <w:pPr>
              <w:pStyle w:val="TableParagraph"/>
              <w:spacing w:before="8"/>
              <w:rPr>
                <w:rFonts w:ascii="Times New Roman"/>
                <w:sz w:val="19"/>
              </w:rPr>
            </w:pPr>
          </w:p>
          <w:p>
            <w:pPr>
              <w:pStyle w:val="TableParagraph"/>
              <w:spacing w:before="1"/>
              <w:ind w:left="261"/>
              <w:rPr>
                <w:sz w:val="20"/>
              </w:rPr>
            </w:pPr>
            <w:r>
              <w:rPr>
                <w:b/>
                <w:sz w:val="20"/>
              </w:rPr>
              <w:t>B. PERSONNEL STANDARDS – </w:t>
            </w:r>
            <w:r>
              <w:rPr>
                <w:sz w:val="20"/>
              </w:rPr>
              <w:t>Personnel standards apply to all personnel performing digital forensic tasks and address qualifications and proficiency.</w:t>
            </w:r>
          </w:p>
        </w:tc>
      </w:tr>
      <w:tr>
        <w:trPr>
          <w:trHeight w:val="690" w:hRule="atLeast"/>
        </w:trPr>
        <w:tc>
          <w:tcPr>
            <w:tcW w:w="6075" w:type="dxa"/>
            <w:tcBorders>
              <w:top w:val="single" w:sz="6" w:space="0" w:color="000000"/>
              <w:bottom w:val="single" w:sz="6" w:space="0" w:color="000000"/>
              <w:right w:val="single" w:sz="6" w:space="0" w:color="000000"/>
            </w:tcBorders>
          </w:tcPr>
          <w:p>
            <w:pPr>
              <w:pStyle w:val="TableParagraph"/>
              <w:spacing w:line="230" w:lineRule="exact" w:before="3"/>
              <w:ind w:left="674" w:right="131" w:hanging="360"/>
              <w:rPr>
                <w:sz w:val="20"/>
              </w:rPr>
            </w:pPr>
            <w:r>
              <w:rPr>
                <w:b/>
                <w:sz w:val="20"/>
              </w:rPr>
              <w:t>18. </w:t>
            </w:r>
            <w:r>
              <w:rPr>
                <w:sz w:val="20"/>
              </w:rPr>
              <w:t>Do personnel assigned to perform digital forensic activities possess technical competency for the tasks they are assigned.</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61"/>
              <w:ind w:left="5" w:right="58"/>
              <w:rPr>
                <w:sz w:val="16"/>
              </w:rPr>
            </w:pPr>
            <w:r>
              <w:rPr>
                <w:sz w:val="16"/>
              </w:rPr>
              <w:t>QSDF, Personnel Stds, Section A</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688" w:hRule="atLeast"/>
        </w:trPr>
        <w:tc>
          <w:tcPr>
            <w:tcW w:w="6075" w:type="dxa"/>
            <w:tcBorders>
              <w:top w:val="single" w:sz="6" w:space="0" w:color="000000"/>
              <w:bottom w:val="single" w:sz="6" w:space="0" w:color="000000"/>
              <w:right w:val="single" w:sz="6" w:space="0" w:color="000000"/>
            </w:tcBorders>
          </w:tcPr>
          <w:p>
            <w:pPr>
              <w:pStyle w:val="TableParagraph"/>
              <w:spacing w:line="230" w:lineRule="exact"/>
              <w:ind w:left="674" w:right="223" w:hanging="360"/>
              <w:jc w:val="both"/>
              <w:rPr>
                <w:sz w:val="20"/>
              </w:rPr>
            </w:pPr>
            <w:r>
              <w:rPr>
                <w:b/>
                <w:sz w:val="20"/>
              </w:rPr>
              <w:t>19. </w:t>
            </w:r>
            <w:r>
              <w:rPr>
                <w:sz w:val="20"/>
              </w:rPr>
              <w:t>Does the organization screen digital forensic applicants to ensure they possess the highest standards of conduct</w:t>
            </w:r>
            <w:r>
              <w:rPr>
                <w:spacing w:val="-18"/>
                <w:sz w:val="20"/>
              </w:rPr>
              <w:t> </w:t>
            </w:r>
            <w:r>
              <w:rPr>
                <w:sz w:val="20"/>
              </w:rPr>
              <w:t>and ethics, including unimpeachable honesty and</w:t>
            </w:r>
            <w:r>
              <w:rPr>
                <w:spacing w:val="-8"/>
                <w:sz w:val="20"/>
              </w:rPr>
              <w:t> </w:t>
            </w:r>
            <w:r>
              <w:rPr>
                <w:sz w:val="20"/>
              </w:rPr>
              <w:t>integrity?</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59"/>
              <w:ind w:left="5" w:right="58"/>
              <w:rPr>
                <w:sz w:val="16"/>
              </w:rPr>
            </w:pPr>
            <w:r>
              <w:rPr>
                <w:sz w:val="16"/>
              </w:rPr>
              <w:t>QSDF, Personnel Stds, Para A.4</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916" w:hRule="atLeast"/>
        </w:trPr>
        <w:tc>
          <w:tcPr>
            <w:tcW w:w="6075" w:type="dxa"/>
            <w:tcBorders>
              <w:top w:val="single" w:sz="6" w:space="0" w:color="000000"/>
              <w:bottom w:val="single" w:sz="6" w:space="0" w:color="000000"/>
              <w:right w:val="single" w:sz="6" w:space="0" w:color="000000"/>
            </w:tcBorders>
          </w:tcPr>
          <w:p>
            <w:pPr>
              <w:pStyle w:val="TableParagraph"/>
              <w:ind w:left="674" w:right="131" w:hanging="360"/>
              <w:rPr>
                <w:sz w:val="20"/>
              </w:rPr>
            </w:pPr>
            <w:r>
              <w:rPr>
                <w:b/>
                <w:sz w:val="20"/>
              </w:rPr>
              <w:t>20. </w:t>
            </w:r>
            <w:r>
              <w:rPr>
                <w:sz w:val="20"/>
              </w:rPr>
              <w:t>Does the organization have a policy that requires persons performing digital forensics to report any arrest, conviction, or other potential misconduct issue that would jeopardize</w:t>
            </w:r>
          </w:p>
          <w:p>
            <w:pPr>
              <w:pStyle w:val="TableParagraph"/>
              <w:spacing w:line="209" w:lineRule="exact"/>
              <w:ind w:left="674"/>
              <w:rPr>
                <w:sz w:val="20"/>
              </w:rPr>
            </w:pPr>
            <w:r>
              <w:rPr>
                <w:sz w:val="20"/>
              </w:rPr>
              <w:t>their performance of duties?</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2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2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2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2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2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23"/>
              </w:rPr>
            </w:pPr>
          </w:p>
          <w:p>
            <w:pPr>
              <w:pStyle w:val="TableParagraph"/>
              <w:ind w:left="5" w:right="58"/>
              <w:rPr>
                <w:sz w:val="16"/>
              </w:rPr>
            </w:pPr>
            <w:r>
              <w:rPr>
                <w:sz w:val="16"/>
              </w:rPr>
              <w:t>QSDF, Personnel Stds, Para A.4</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83" w:hRule="atLeast"/>
        </w:trPr>
        <w:tc>
          <w:tcPr>
            <w:tcW w:w="6075" w:type="dxa"/>
            <w:tcBorders>
              <w:top w:val="single" w:sz="6" w:space="0" w:color="000000"/>
              <w:bottom w:val="single" w:sz="6" w:space="0" w:color="000000"/>
              <w:right w:val="single" w:sz="6" w:space="0" w:color="000000"/>
            </w:tcBorders>
          </w:tcPr>
          <w:p>
            <w:pPr>
              <w:pStyle w:val="TableParagraph"/>
              <w:spacing w:before="61"/>
              <w:ind w:left="674" w:hanging="360"/>
              <w:rPr>
                <w:sz w:val="20"/>
              </w:rPr>
            </w:pPr>
            <w:r>
              <w:rPr>
                <w:b/>
                <w:sz w:val="20"/>
              </w:rPr>
              <w:t>21. </w:t>
            </w:r>
            <w:r>
              <w:rPr>
                <w:sz w:val="20"/>
              </w:rPr>
              <w:t>Do all personnel performing digital forensics attend a formal training program for the tasks they perform?</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5"/>
              <w:rPr>
                <w:rFonts w:ascii="Times New Roman"/>
                <w:sz w:val="20"/>
              </w:rPr>
            </w:pPr>
            <w:r>
              <w:rPr>
                <w:rFonts w:ascii="Times New Roman"/>
                <w:sz w:val="20"/>
              </w:rPr>
              <w:pict>
                <v:group style="width:11.9pt;height:11.95pt;mso-position-horizontal-relative:char;mso-position-vertical-relative:line" coordorigin="0,0" coordsize="238,239">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5"/>
              <w:rPr>
                <w:rFonts w:ascii="Times New Roman"/>
                <w:sz w:val="20"/>
              </w:rPr>
            </w:pPr>
            <w:r>
              <w:rPr>
                <w:rFonts w:ascii="Times New Roman"/>
                <w:sz w:val="20"/>
              </w:rPr>
              <w:pict>
                <v:group style="width:11.9pt;height:11.95pt;mso-position-horizontal-relative:char;mso-position-vertical-relative:line" coordorigin="0,0" coordsize="238,239">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5"/>
              <w:rPr>
                <w:rFonts w:ascii="Times New Roman"/>
                <w:sz w:val="20"/>
              </w:rPr>
            </w:pPr>
            <w:r>
              <w:rPr>
                <w:rFonts w:ascii="Times New Roman"/>
                <w:sz w:val="20"/>
              </w:rPr>
              <w:pict>
                <v:group style="width:11.9pt;height:11.95pt;mso-position-horizontal-relative:char;mso-position-vertical-relative:line" coordorigin="0,0" coordsize="238,239">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6"/>
              <w:rPr>
                <w:rFonts w:ascii="Times New Roman"/>
                <w:sz w:val="20"/>
              </w:rPr>
            </w:pPr>
            <w:r>
              <w:rPr>
                <w:rFonts w:ascii="Times New Roman"/>
                <w:sz w:val="20"/>
              </w:rPr>
              <w:pict>
                <v:group style="width:11.9pt;height:11.95pt;mso-position-horizontal-relative:char;mso-position-vertical-relative:line" coordorigin="0,0" coordsize="238,239">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4"/>
              </w:rPr>
            </w:pPr>
          </w:p>
          <w:p>
            <w:pPr>
              <w:pStyle w:val="TableParagraph"/>
              <w:ind w:left="146"/>
              <w:rPr>
                <w:rFonts w:ascii="Times New Roman"/>
                <w:sz w:val="20"/>
              </w:rPr>
            </w:pPr>
            <w:r>
              <w:rPr>
                <w:rFonts w:ascii="Times New Roman"/>
                <w:sz w:val="20"/>
              </w:rPr>
              <w:pict>
                <v:group style="width:11.9pt;height:11.95pt;mso-position-horizontal-relative:char;mso-position-vertical-relative:line" coordorigin="0,0" coordsize="238,239">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9"/>
              <w:ind w:left="5" w:right="58"/>
              <w:rPr>
                <w:sz w:val="16"/>
              </w:rPr>
            </w:pPr>
            <w:r>
              <w:rPr>
                <w:sz w:val="16"/>
              </w:rPr>
              <w:t>QSDF, Personnel Stds, Section A.7</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688" w:hRule="atLeast"/>
        </w:trPr>
        <w:tc>
          <w:tcPr>
            <w:tcW w:w="6075" w:type="dxa"/>
            <w:tcBorders>
              <w:top w:val="single" w:sz="6" w:space="0" w:color="000000"/>
              <w:bottom w:val="single" w:sz="6" w:space="0" w:color="000000"/>
              <w:right w:val="single" w:sz="6" w:space="0" w:color="000000"/>
            </w:tcBorders>
          </w:tcPr>
          <w:p>
            <w:pPr>
              <w:pStyle w:val="TableParagraph"/>
              <w:spacing w:line="229" w:lineRule="exact"/>
              <w:ind w:left="674" w:hanging="360"/>
              <w:rPr>
                <w:sz w:val="20"/>
              </w:rPr>
            </w:pPr>
            <w:r>
              <w:rPr>
                <w:b/>
                <w:sz w:val="20"/>
              </w:rPr>
              <w:t>22. </w:t>
            </w:r>
            <w:r>
              <w:rPr>
                <w:sz w:val="20"/>
              </w:rPr>
              <w:t>Do personnel performing digital forensics demonstrate they</w:t>
            </w:r>
          </w:p>
          <w:p>
            <w:pPr>
              <w:pStyle w:val="TableParagraph"/>
              <w:spacing w:line="228" w:lineRule="exact" w:before="5"/>
              <w:ind w:left="674"/>
              <w:rPr>
                <w:sz w:val="20"/>
              </w:rPr>
            </w:pPr>
            <w:r>
              <w:rPr>
                <w:sz w:val="20"/>
              </w:rPr>
              <w:t>are competent to perform those functions before performing independent work?</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61"/>
              <w:ind w:left="5" w:right="58"/>
              <w:rPr>
                <w:sz w:val="16"/>
              </w:rPr>
            </w:pPr>
            <w:r>
              <w:rPr>
                <w:sz w:val="16"/>
              </w:rPr>
              <w:t>QSDF, Personnel Stds, A.8</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80" w:hRule="atLeast"/>
        </w:trPr>
        <w:tc>
          <w:tcPr>
            <w:tcW w:w="6075" w:type="dxa"/>
            <w:tcBorders>
              <w:top w:val="single" w:sz="6" w:space="0" w:color="000000"/>
              <w:bottom w:val="single" w:sz="6" w:space="0" w:color="000000"/>
              <w:right w:val="single" w:sz="6" w:space="0" w:color="000000"/>
            </w:tcBorders>
          </w:tcPr>
          <w:p>
            <w:pPr>
              <w:pStyle w:val="TableParagraph"/>
              <w:spacing w:before="59"/>
              <w:ind w:left="674" w:right="131" w:hanging="360"/>
              <w:rPr>
                <w:sz w:val="20"/>
              </w:rPr>
            </w:pPr>
            <w:r>
              <w:rPr>
                <w:b/>
                <w:sz w:val="20"/>
              </w:rPr>
              <w:t>23. </w:t>
            </w:r>
            <w:r>
              <w:rPr>
                <w:sz w:val="20"/>
              </w:rPr>
              <w:t>Do forensic examiners receive a minimum of 120* hours of training during every 3-year period?</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6"/>
              <w:ind w:left="5" w:right="58"/>
              <w:rPr>
                <w:sz w:val="16"/>
              </w:rPr>
            </w:pPr>
            <w:r>
              <w:rPr>
                <w:sz w:val="16"/>
              </w:rPr>
              <w:t>QSDF, Personnel Stds, Para B.2</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80" w:hRule="atLeast"/>
        </w:trPr>
        <w:tc>
          <w:tcPr>
            <w:tcW w:w="6075" w:type="dxa"/>
            <w:tcBorders>
              <w:top w:val="single" w:sz="6" w:space="0" w:color="000000"/>
              <w:bottom w:val="single" w:sz="6" w:space="0" w:color="000000"/>
              <w:right w:val="single" w:sz="6" w:space="0" w:color="000000"/>
            </w:tcBorders>
          </w:tcPr>
          <w:p>
            <w:pPr>
              <w:pStyle w:val="TableParagraph"/>
              <w:spacing w:before="59"/>
              <w:ind w:left="674" w:right="131" w:hanging="360"/>
              <w:rPr>
                <w:sz w:val="20"/>
              </w:rPr>
            </w:pPr>
            <w:r>
              <w:rPr>
                <w:b/>
                <w:sz w:val="20"/>
              </w:rPr>
              <w:t>24. </w:t>
            </w:r>
            <w:r>
              <w:rPr>
                <w:sz w:val="20"/>
              </w:rPr>
              <w:t>Do forensic specialists receive a minimum of 60* hours of training during every 3-year period?</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52" w:type="dxa"/>
            <w:tcBorders>
              <w:top w:val="single" w:sz="6" w:space="0" w:color="000000"/>
              <w:left w:val="single" w:sz="6" w:space="0" w:color="000000"/>
              <w:bottom w:val="single" w:sz="6" w:space="0" w:color="000000"/>
              <w:right w:val="single" w:sz="6" w:space="0" w:color="000000"/>
            </w:tcBorders>
          </w:tcPr>
          <w:p>
            <w:pPr>
              <w:pStyle w:val="TableParagraph"/>
              <w:spacing w:before="106"/>
              <w:ind w:left="5" w:right="58"/>
              <w:rPr>
                <w:sz w:val="16"/>
              </w:rPr>
            </w:pPr>
            <w:r>
              <w:rPr>
                <w:sz w:val="16"/>
              </w:rPr>
              <w:t>QSDF, Personnel Stds, Para B.2</w:t>
            </w:r>
          </w:p>
        </w:tc>
        <w:tc>
          <w:tcPr>
            <w:tcW w:w="2386"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80" w:hRule="atLeast"/>
        </w:trPr>
        <w:tc>
          <w:tcPr>
            <w:tcW w:w="6075" w:type="dxa"/>
            <w:tcBorders>
              <w:top w:val="single" w:sz="6" w:space="0" w:color="000000"/>
              <w:right w:val="single" w:sz="6" w:space="0" w:color="000000"/>
            </w:tcBorders>
          </w:tcPr>
          <w:p>
            <w:pPr>
              <w:pStyle w:val="TableParagraph"/>
              <w:spacing w:before="59"/>
              <w:ind w:left="674" w:right="131" w:hanging="360"/>
              <w:rPr>
                <w:sz w:val="20"/>
              </w:rPr>
            </w:pPr>
            <w:r>
              <w:rPr>
                <w:b/>
                <w:sz w:val="20"/>
              </w:rPr>
              <w:t>25. </w:t>
            </w:r>
            <w:r>
              <w:rPr>
                <w:sz w:val="20"/>
              </w:rPr>
              <w:t>Do forensic personnel pass a practical proficiency test at least once every 3 years?</w:t>
            </w:r>
          </w:p>
        </w:tc>
        <w:tc>
          <w:tcPr>
            <w:tcW w:w="540" w:type="dxa"/>
            <w:tcBorders>
              <w:top w:val="single" w:sz="6" w:space="0" w:color="000000"/>
              <w:left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8"/>
              <w:rPr>
                <w:rFonts w:ascii="Times New Roman"/>
                <w:sz w:val="14"/>
              </w:rPr>
            </w:pPr>
          </w:p>
          <w:p>
            <w:pPr>
              <w:pStyle w:val="TableParagraph"/>
              <w:ind w:left="145"/>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540" w:type="dxa"/>
            <w:tcBorders>
              <w:top w:val="single" w:sz="6" w:space="0" w:color="000000"/>
              <w:left w:val="single" w:sz="6" w:space="0" w:color="000000"/>
              <w:right w:val="single" w:sz="6" w:space="0" w:color="000000"/>
            </w:tcBorders>
          </w:tcPr>
          <w:p>
            <w:pPr>
              <w:pStyle w:val="TableParagraph"/>
              <w:spacing w:before="8"/>
              <w:rPr>
                <w:rFonts w:ascii="Times New Roman"/>
                <w:sz w:val="14"/>
              </w:rPr>
            </w:pPr>
          </w:p>
          <w:p>
            <w:pPr>
              <w:pStyle w:val="TableParagraph"/>
              <w:ind w:left="146"/>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4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352" w:type="dxa"/>
            <w:tcBorders>
              <w:top w:val="single" w:sz="6" w:space="0" w:color="000000"/>
              <w:left w:val="single" w:sz="6" w:space="0" w:color="000000"/>
              <w:right w:val="single" w:sz="6" w:space="0" w:color="000000"/>
            </w:tcBorders>
          </w:tcPr>
          <w:p>
            <w:pPr>
              <w:pStyle w:val="TableParagraph"/>
              <w:spacing w:before="106"/>
              <w:ind w:left="5" w:right="58"/>
              <w:rPr>
                <w:sz w:val="16"/>
              </w:rPr>
            </w:pPr>
            <w:r>
              <w:rPr>
                <w:sz w:val="16"/>
              </w:rPr>
              <w:t>QSDF, Personnel Stds, Para B.3</w:t>
            </w:r>
          </w:p>
        </w:tc>
        <w:tc>
          <w:tcPr>
            <w:tcW w:w="2386" w:type="dxa"/>
            <w:tcBorders>
              <w:top w:val="single" w:sz="6" w:space="0" w:color="000000"/>
              <w:left w:val="single" w:sz="6" w:space="0" w:color="000000"/>
            </w:tcBorders>
          </w:tcPr>
          <w:p>
            <w:pPr>
              <w:pStyle w:val="TableParagraph"/>
              <w:rPr>
                <w:rFonts w:ascii="Times New Roman"/>
                <w:sz w:val="20"/>
              </w:rPr>
            </w:pPr>
          </w:p>
        </w:tc>
      </w:tr>
    </w:tbl>
    <w:p>
      <w:pPr>
        <w:pStyle w:val="Heading1"/>
        <w:spacing w:before="0"/>
        <w:ind w:left="600" w:right="841"/>
      </w:pPr>
      <w:r>
        <w:rPr/>
        <w:t>*These are new or updated requirements in the 2019 QSDF, and organizations are not required to be fully compliant prior to October 1, 2020. Appropriate policies must be in place by October 1, 2020, and all work performed after this date must comply</w:t>
      </w:r>
      <w:r>
        <w:rPr>
          <w:spacing w:val="-18"/>
        </w:rPr>
        <w:t> </w:t>
      </w:r>
      <w:r>
        <w:rPr/>
        <w:t>with the new</w:t>
      </w:r>
      <w:r>
        <w:rPr>
          <w:spacing w:val="-1"/>
        </w:rPr>
        <w:t> </w:t>
      </w:r>
      <w:r>
        <w:rPr/>
        <w:t>standards.</w:t>
      </w:r>
    </w:p>
    <w:sectPr>
      <w:pgSz w:w="15840" w:h="12240" w:orient="landscape"/>
      <w:pgMar w:header="729" w:footer="785" w:top="1440" w:bottom="980" w:left="8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71pt;margin-top:561.762634pt;width:69.1pt;height:15.3pt;mso-position-horizontal-relative:page;mso-position-vertical-relative:page;z-index:-253536256" type="#_x0000_t202" filled="false" stroked="false">
          <v:textbox inset="0,0,0,0">
            <w:txbxContent>
              <w:p>
                <w:pPr>
                  <w:spacing w:before="10"/>
                  <w:ind w:left="20" w:right="0" w:firstLine="0"/>
                  <w:jc w:val="left"/>
                  <w:rPr>
                    <w:rFonts w:ascii="Times New Roman"/>
                    <w:sz w:val="24"/>
                  </w:rPr>
                </w:pPr>
                <w:r>
                  <w:rPr>
                    <w:rFonts w:ascii="Times New Roman"/>
                    <w:sz w:val="24"/>
                  </w:rPr>
                  <w:t>June 18, 2019</w:t>
                </w:r>
              </w:p>
            </w:txbxContent>
          </v:textbox>
          <w10:wrap type="none"/>
        </v:shape>
      </w:pict>
    </w:r>
    <w:r>
      <w:rPr/>
      <w:pict>
        <v:shape style="position:absolute;margin-left:390.049988pt;margin-top:561.762634pt;width:12pt;height:15.3pt;mso-position-horizontal-relative:page;mso-position-vertical-relative:page;z-index:-253535232"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type id="_x0000_t202" o:spt="202" coordsize="21600,21600" path="m,l,21600r21600,l21600,xe">
          <v:stroke joinstyle="miter"/>
          <v:path gradientshapeok="t" o:connecttype="rect"/>
        </v:shapetype>
        <v:shape style="position:absolute;margin-left:635.460022pt;margin-top:35.46664pt;width:85.55pt;height:15.3pt;mso-position-horizontal-relative:page;mso-position-vertical-relative:page;z-index:-253538304" type="#_x0000_t202" filled="false" stroked="false">
          <v:textbox inset="0,0,0,0">
            <w:txbxContent>
              <w:p>
                <w:pPr>
                  <w:spacing w:before="10"/>
                  <w:ind w:left="20" w:right="0" w:firstLine="0"/>
                  <w:jc w:val="left"/>
                  <w:rPr>
                    <w:rFonts w:ascii="Times New Roman"/>
                    <w:b/>
                    <w:sz w:val="24"/>
                  </w:rPr>
                </w:pPr>
                <w:r>
                  <w:rPr>
                    <w:rFonts w:ascii="Times New Roman"/>
                    <w:b/>
                    <w:sz w:val="24"/>
                  </w:rPr>
                  <w:t>APPENDIX C-2</w:t>
                </w:r>
              </w:p>
            </w:txbxContent>
          </v:textbox>
          <w10:wrap type="none"/>
        </v:shape>
      </w:pict>
    </w:r>
    <w:r>
      <w:rPr/>
      <w:pict>
        <v:shape style="position:absolute;margin-left:297.970001pt;margin-top:49.284512pt;width:196pt;height:24.6pt;mso-position-horizontal-relative:page;mso-position-vertical-relative:page;z-index:-253537280" type="#_x0000_t202" filled="false" stroked="false">
          <v:textbox inset="0,0,0,0">
            <w:txbxContent>
              <w:p>
                <w:pPr>
                  <w:spacing w:before="10"/>
                  <w:ind w:left="276" w:right="-2" w:hanging="257"/>
                  <w:jc w:val="left"/>
                  <w:rPr>
                    <w:rFonts w:ascii="Times New Roman"/>
                    <w:b/>
                    <w:sz w:val="20"/>
                  </w:rPr>
                </w:pPr>
                <w:r>
                  <w:rPr>
                    <w:rFonts w:ascii="Times New Roman"/>
                    <w:b/>
                    <w:sz w:val="20"/>
                  </w:rPr>
                  <w:t>Questionnaire for Review of Conformity with Quality Standards for Digital Forensics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9"/>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Investigations Subcommittee</dc:creator>
  <cp:keywords>QSDF</cp:keywords>
  <dc:subject>Appendix C-2</dc:subject>
  <dc:title>Questionaire for Review of Conformity with Quality Standards for Digital Forensics</dc:title>
  <dcterms:created xsi:type="dcterms:W3CDTF">2022-07-10T16:11:19Z</dcterms:created>
  <dcterms:modified xsi:type="dcterms:W3CDTF">2022-07-10T16:11:19Z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LastSaved">
    <vt:filetime>2022-07-10T00:00:00Z</vt:filetime>
  </property>
</Properties>
</file>